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83769" w:rsidP="005D0621">
            <w:pPr>
              <w:rPr>
                <w:b/>
              </w:rPr>
            </w:pPr>
            <w:r>
              <w:rPr>
                <w:b/>
              </w:rPr>
              <w:t>19</w:t>
            </w:r>
            <w:r w:rsidRPr="00383769">
              <w:rPr>
                <w:b/>
                <w:vertAlign w:val="superscript"/>
              </w:rPr>
              <w:t>th</w:t>
            </w:r>
            <w:r>
              <w:rPr>
                <w:b/>
              </w:rPr>
              <w:t xml:space="preserve"> September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83769" w:rsidP="0075111C">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B5C46" w:rsidP="008F7486">
            <w:pPr>
              <w:rPr>
                <w:rStyle w:val="Firstpagetablebold"/>
              </w:rPr>
            </w:pPr>
            <w:r>
              <w:rPr>
                <w:rStyle w:val="Firstpagetablebold"/>
              </w:rPr>
              <w:t xml:space="preserve">The Transfer of 10 </w:t>
            </w:r>
            <w:r w:rsidR="0075111C">
              <w:rPr>
                <w:rStyle w:val="Firstpagetablebold"/>
              </w:rPr>
              <w:t>p</w:t>
            </w:r>
            <w:r>
              <w:rPr>
                <w:rStyle w:val="Firstpagetablebold"/>
              </w:rPr>
              <w:t xml:space="preserve">roperties </w:t>
            </w:r>
            <w:r w:rsidR="0075111C">
              <w:rPr>
                <w:rStyle w:val="Firstpagetablebold"/>
              </w:rPr>
              <w:t>p</w:t>
            </w:r>
            <w:r>
              <w:rPr>
                <w:rStyle w:val="Firstpagetablebold"/>
              </w:rPr>
              <w:t xml:space="preserve">urchased in Great Western Park, Didcot under the </w:t>
            </w:r>
            <w:r w:rsidR="008F7486">
              <w:rPr>
                <w:rStyle w:val="Firstpagetablebold"/>
              </w:rPr>
              <w:t>t</w:t>
            </w:r>
            <w:r>
              <w:rPr>
                <w:rStyle w:val="Firstpagetablebold"/>
              </w:rPr>
              <w:t xml:space="preserve">emporary </w:t>
            </w:r>
            <w:r w:rsidR="008F7486">
              <w:rPr>
                <w:rStyle w:val="Firstpagetablebold"/>
              </w:rPr>
              <w:t>a</w:t>
            </w:r>
            <w:r>
              <w:rPr>
                <w:rStyle w:val="Firstpagetablebold"/>
              </w:rPr>
              <w:t xml:space="preserve">ccommodation </w:t>
            </w:r>
            <w:r w:rsidR="008F7486">
              <w:rPr>
                <w:rStyle w:val="Firstpagetablebold"/>
              </w:rPr>
              <w:t>p</w:t>
            </w:r>
            <w:r>
              <w:rPr>
                <w:rStyle w:val="Firstpagetablebold"/>
              </w:rPr>
              <w:t xml:space="preserve">urchase </w:t>
            </w:r>
            <w:r w:rsidR="008F7486">
              <w:rPr>
                <w:rStyle w:val="Firstpagetablebold"/>
              </w:rPr>
              <w:t>programme</w:t>
            </w:r>
            <w:r>
              <w:rPr>
                <w:rStyle w:val="Firstpagetablebold"/>
              </w:rPr>
              <w:t xml:space="preserve"> from the General Fund into the Housing Revenue Accoun</w:t>
            </w:r>
            <w:r w:rsidR="00A91183">
              <w:rPr>
                <w:rStyle w:val="Firstpagetablebold"/>
              </w:rPr>
              <w:t>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B5C46" w:rsidP="00546AE3">
            <w:r>
              <w:t xml:space="preserve">To </w:t>
            </w:r>
            <w:r w:rsidR="00546AE3">
              <w:t xml:space="preserve">recommend to Council to make suitable budgetary provision </w:t>
            </w:r>
            <w:r>
              <w:t>for the Housing Revenue Account to acquire 10 flats due to be purchased by the General Fund at Great Western Park, Didcot in September 2017 for use as social housing</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B5C46">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B5C46">
            <w:r w:rsidRPr="001356F1">
              <w:t xml:space="preserve">Councillor </w:t>
            </w:r>
            <w:r w:rsidR="005B5C46">
              <w:t>Mike Rowley</w:t>
            </w:r>
            <w:r w:rsidRPr="001356F1">
              <w:t xml:space="preserve">, </w:t>
            </w:r>
            <w:r w:rsidR="005B5C46">
              <w:t>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B5C46" w:rsidP="005B5C46">
            <w:r>
              <w:t>Meeting Housing Needs</w:t>
            </w:r>
          </w:p>
        </w:tc>
      </w:tr>
      <w:tr w:rsidR="00D5547E" w:rsidTr="00076D6F">
        <w:trPr>
          <w:trHeight w:val="428"/>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Default="005B5C46" w:rsidP="00546AE3">
            <w:r>
              <w:t xml:space="preserve">Housing Strategy </w:t>
            </w:r>
            <w:r w:rsidR="00546AE3">
              <w:t xml:space="preserve">2015 to </w:t>
            </w:r>
            <w:r w:rsidR="00283AC8">
              <w:t xml:space="preserve">2018 </w:t>
            </w:r>
          </w:p>
          <w:p w:rsidR="00D04425" w:rsidRPr="001356F1" w:rsidRDefault="00D04425" w:rsidP="00546AE3"/>
        </w:tc>
      </w:tr>
      <w:tr w:rsidR="005F7F7E" w:rsidRPr="00975B07" w:rsidTr="00A46E98">
        <w:trPr>
          <w:trHeight w:val="413"/>
        </w:trPr>
        <w:tc>
          <w:tcPr>
            <w:tcW w:w="8845" w:type="dxa"/>
            <w:gridSpan w:val="3"/>
            <w:tcBorders>
              <w:bottom w:val="single" w:sz="8" w:space="0" w:color="000000"/>
            </w:tcBorders>
          </w:tcPr>
          <w:p w:rsidR="005F7F7E" w:rsidRPr="00975B07" w:rsidRDefault="00076D6F" w:rsidP="00076D6F">
            <w:r>
              <w:rPr>
                <w:rStyle w:val="Firstpagetablebold"/>
              </w:rPr>
              <w:t>Recommendations: That</w:t>
            </w:r>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Default="0030208D" w:rsidP="004A6D2F"/>
          <w:p w:rsidR="00076D6F" w:rsidRPr="00975B07" w:rsidRDefault="00076D6F" w:rsidP="004A6D2F">
            <w:r>
              <w:t>1.</w:t>
            </w:r>
          </w:p>
        </w:tc>
        <w:tc>
          <w:tcPr>
            <w:tcW w:w="8419" w:type="dxa"/>
            <w:gridSpan w:val="2"/>
            <w:tcBorders>
              <w:top w:val="single" w:sz="8" w:space="0" w:color="000000"/>
              <w:left w:val="nil"/>
              <w:bottom w:val="nil"/>
              <w:right w:val="single" w:sz="8" w:space="0" w:color="000000"/>
            </w:tcBorders>
            <w:shd w:val="clear" w:color="auto" w:fill="auto"/>
          </w:tcPr>
          <w:p w:rsidR="00076D6F" w:rsidRDefault="00076D6F" w:rsidP="0075111C">
            <w:pPr>
              <w:rPr>
                <w:rStyle w:val="Firstpagetablebold"/>
              </w:rPr>
            </w:pPr>
          </w:p>
          <w:p w:rsidR="009A5A2B" w:rsidRDefault="001C6313" w:rsidP="0075111C">
            <w:pPr>
              <w:rPr>
                <w:rStyle w:val="Firstpagetablebold"/>
              </w:rPr>
            </w:pPr>
            <w:r>
              <w:rPr>
                <w:rStyle w:val="Firstpagetablebold"/>
              </w:rPr>
              <w:t>R</w:t>
            </w:r>
            <w:r w:rsidR="00546AE3">
              <w:rPr>
                <w:rStyle w:val="Firstpagetablebold"/>
              </w:rPr>
              <w:t>e</w:t>
            </w:r>
            <w:r w:rsidR="009A5A2B">
              <w:rPr>
                <w:rStyle w:val="Firstpagetablebold"/>
              </w:rPr>
              <w:t>quest</w:t>
            </w:r>
            <w:r w:rsidR="00546AE3">
              <w:rPr>
                <w:rStyle w:val="Firstpagetablebold"/>
              </w:rPr>
              <w:t xml:space="preserve"> Council </w:t>
            </w:r>
            <w:r w:rsidR="009A5A2B">
              <w:rPr>
                <w:rStyle w:val="Firstpagetablebold"/>
              </w:rPr>
              <w:t xml:space="preserve">approve </w:t>
            </w:r>
            <w:r w:rsidR="00507AC8">
              <w:rPr>
                <w:rStyle w:val="Firstpagetablebold"/>
              </w:rPr>
              <w:t xml:space="preserve">the introduction of </w:t>
            </w:r>
            <w:r w:rsidR="009A5A2B">
              <w:rPr>
                <w:rStyle w:val="Firstpagetablebold"/>
              </w:rPr>
              <w:t xml:space="preserve">an additional 2017/18 HRA capital </w:t>
            </w:r>
            <w:r w:rsidR="00507AC8">
              <w:rPr>
                <w:rStyle w:val="Firstpagetablebold"/>
              </w:rPr>
              <w:t>budget</w:t>
            </w:r>
            <w:r w:rsidR="009A5A2B">
              <w:rPr>
                <w:rStyle w:val="Firstpagetablebold"/>
              </w:rPr>
              <w:t xml:space="preserve">, namely </w:t>
            </w:r>
            <w:r w:rsidR="00704ADB">
              <w:rPr>
                <w:rStyle w:val="Firstpagetablebold"/>
              </w:rPr>
              <w:t>£2.362</w:t>
            </w:r>
            <w:r w:rsidR="009A5A2B">
              <w:rPr>
                <w:rStyle w:val="Firstpagetablebold"/>
              </w:rPr>
              <w:t>m</w:t>
            </w:r>
            <w:r w:rsidR="00076D6F">
              <w:rPr>
                <w:rStyle w:val="Firstpagetablebold"/>
              </w:rPr>
              <w:t>, funded by HRA borrowing</w:t>
            </w:r>
            <w:r w:rsidR="009A5A2B">
              <w:rPr>
                <w:rStyle w:val="Firstpagetablebold"/>
              </w:rPr>
              <w:t xml:space="preserve"> </w:t>
            </w:r>
            <w:r w:rsidR="00507AC8">
              <w:rPr>
                <w:rStyle w:val="Firstpagetablebold"/>
              </w:rPr>
              <w:t xml:space="preserve">for </w:t>
            </w:r>
            <w:r w:rsidR="009A5A2B">
              <w:rPr>
                <w:rStyle w:val="Firstpagetablebold"/>
              </w:rPr>
              <w:t>“Property Acquisitions”</w:t>
            </w:r>
            <w:r w:rsidR="00507AC8">
              <w:rPr>
                <w:rStyle w:val="Firstpagetablebold"/>
              </w:rPr>
              <w:t>,</w:t>
            </w:r>
            <w:r w:rsidR="009A5A2B">
              <w:rPr>
                <w:rStyle w:val="Firstpagetablebold"/>
              </w:rPr>
              <w:t xml:space="preserve"> </w:t>
            </w:r>
            <w:r w:rsidR="00076D6F">
              <w:rPr>
                <w:rStyle w:val="Firstpagetablebold"/>
              </w:rPr>
              <w:t>in order to</w:t>
            </w:r>
            <w:r w:rsidR="009A5A2B">
              <w:rPr>
                <w:rStyle w:val="Firstpagetablebold"/>
              </w:rPr>
              <w:t xml:space="preserve"> transfer 10 units from the General Fund</w:t>
            </w:r>
            <w:r w:rsidR="00076D6F">
              <w:rPr>
                <w:rStyle w:val="Firstpagetablebold"/>
              </w:rPr>
              <w:t xml:space="preserve"> into the HRA</w:t>
            </w:r>
            <w:r w:rsidR="009A5A2B">
              <w:rPr>
                <w:rStyle w:val="Firstpagetablebold"/>
              </w:rPr>
              <w:t>.</w:t>
            </w:r>
          </w:p>
          <w:p w:rsidR="0030208D" w:rsidRPr="001356F1" w:rsidRDefault="0030208D" w:rsidP="00076D6F"/>
        </w:tc>
      </w:tr>
      <w:tr w:rsidR="0030208D" w:rsidRPr="00975B07" w:rsidTr="007B598E">
        <w:trPr>
          <w:trHeight w:val="1135"/>
        </w:trPr>
        <w:tc>
          <w:tcPr>
            <w:tcW w:w="426" w:type="dxa"/>
            <w:tcBorders>
              <w:top w:val="nil"/>
              <w:left w:val="single" w:sz="8" w:space="0" w:color="000000"/>
              <w:bottom w:val="nil"/>
              <w:right w:val="nil"/>
            </w:tcBorders>
          </w:tcPr>
          <w:p w:rsidR="0030208D" w:rsidRDefault="00076D6F" w:rsidP="004A6D2F">
            <w:r>
              <w:t>2.</w:t>
            </w:r>
          </w:p>
          <w:p w:rsidR="002E4455" w:rsidRDefault="002E4455" w:rsidP="004A6D2F"/>
          <w:p w:rsidR="002E4455" w:rsidRPr="00975B07" w:rsidRDefault="002E4455" w:rsidP="004A6D2F"/>
        </w:tc>
        <w:tc>
          <w:tcPr>
            <w:tcW w:w="8419" w:type="dxa"/>
            <w:gridSpan w:val="2"/>
            <w:tcBorders>
              <w:top w:val="nil"/>
              <w:left w:val="nil"/>
              <w:bottom w:val="nil"/>
              <w:right w:val="single" w:sz="8" w:space="0" w:color="000000"/>
            </w:tcBorders>
            <w:shd w:val="clear" w:color="auto" w:fill="auto"/>
          </w:tcPr>
          <w:p w:rsidR="0030208D" w:rsidRDefault="001C6313" w:rsidP="00546AE3">
            <w:pPr>
              <w:rPr>
                <w:b/>
              </w:rPr>
            </w:pPr>
            <w:r>
              <w:rPr>
                <w:b/>
              </w:rPr>
              <w:t>N</w:t>
            </w:r>
            <w:r w:rsidR="001F67A7" w:rsidRPr="00681381">
              <w:rPr>
                <w:b/>
              </w:rPr>
              <w:t xml:space="preserve">ote </w:t>
            </w:r>
            <w:r w:rsidR="00546AE3">
              <w:rPr>
                <w:b/>
              </w:rPr>
              <w:t xml:space="preserve">that </w:t>
            </w:r>
            <w:r w:rsidR="001F67A7" w:rsidRPr="00681381">
              <w:rPr>
                <w:b/>
              </w:rPr>
              <w:t xml:space="preserve">all 10 flats </w:t>
            </w:r>
            <w:r w:rsidR="002E4455">
              <w:rPr>
                <w:b/>
              </w:rPr>
              <w:t xml:space="preserve">to be transferred </w:t>
            </w:r>
            <w:r w:rsidR="001F67A7" w:rsidRPr="00681381">
              <w:rPr>
                <w:b/>
              </w:rPr>
              <w:t xml:space="preserve">(8 two-bedroom and 2 one-bedroom flats) are  to be used as social </w:t>
            </w:r>
            <w:r w:rsidR="00546AE3">
              <w:rPr>
                <w:b/>
              </w:rPr>
              <w:t xml:space="preserve">rented </w:t>
            </w:r>
            <w:r w:rsidR="001F67A7" w:rsidRPr="00681381">
              <w:rPr>
                <w:b/>
              </w:rPr>
              <w:t>housing and let to housing applicants in housing need on the Housing Register in Oxford</w:t>
            </w:r>
            <w:r w:rsidR="002E4455">
              <w:rPr>
                <w:b/>
              </w:rPr>
              <w:t>.</w:t>
            </w:r>
          </w:p>
          <w:p w:rsidR="002E4455" w:rsidRPr="00681381" w:rsidRDefault="002E4455" w:rsidP="00817615">
            <w:pPr>
              <w:rPr>
                <w:b/>
              </w:rPr>
            </w:pP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A62904">
            <w:pPr>
              <w:jc w:val="center"/>
            </w:pPr>
            <w:r w:rsidRPr="00745BF0">
              <w:rPr>
                <w:rStyle w:val="Firstpagetablebold"/>
              </w:rPr>
              <w:t>Appendi</w:t>
            </w:r>
            <w:r w:rsidR="00A62904">
              <w:rPr>
                <w:rStyle w:val="Firstpagetablebold"/>
              </w:rPr>
              <w:t>x</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283AC8" w:rsidRDefault="00A62904" w:rsidP="00283AC8">
            <w:r>
              <w:t>Risk Register</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283AC8" w:rsidRDefault="0030208D" w:rsidP="00A62904"/>
        </w:tc>
      </w:tr>
    </w:tbl>
    <w:p w:rsidR="001F67A7" w:rsidRDefault="001F67A7" w:rsidP="004A6D2F">
      <w:pPr>
        <w:pStyle w:val="Heading1"/>
      </w:pPr>
    </w:p>
    <w:p w:rsidR="0040736F" w:rsidRDefault="00F66DCA" w:rsidP="004A6D2F">
      <w:pPr>
        <w:pStyle w:val="Heading1"/>
      </w:pPr>
      <w:r w:rsidRPr="001356F1">
        <w:t>Introduction and b</w:t>
      </w:r>
      <w:r w:rsidR="00151888" w:rsidRPr="001356F1">
        <w:t>ackground</w:t>
      </w:r>
      <w:r w:rsidR="00404032" w:rsidRPr="001356F1">
        <w:t xml:space="preserve"> </w:t>
      </w:r>
    </w:p>
    <w:p w:rsidR="004A0821" w:rsidRDefault="00681381" w:rsidP="004A0821">
      <w:pPr>
        <w:numPr>
          <w:ilvl w:val="0"/>
          <w:numId w:val="34"/>
        </w:numPr>
      </w:pPr>
      <w:r>
        <w:t xml:space="preserve">One of the Council’s </w:t>
      </w:r>
      <w:r w:rsidR="005A64A9">
        <w:t>priority</w:t>
      </w:r>
      <w:r>
        <w:t xml:space="preserve"> </w:t>
      </w:r>
      <w:r w:rsidR="004A0821">
        <w:t>objective</w:t>
      </w:r>
      <w:r>
        <w:t>s</w:t>
      </w:r>
      <w:r w:rsidR="004A0821">
        <w:t xml:space="preserve"> is </w:t>
      </w:r>
      <w:r w:rsidR="005A64A9">
        <w:t>m</w:t>
      </w:r>
      <w:r w:rsidR="004A0821" w:rsidRPr="005A64A9">
        <w:t xml:space="preserve">eeting </w:t>
      </w:r>
      <w:r w:rsidR="005A64A9">
        <w:t>h</w:t>
      </w:r>
      <w:r w:rsidR="004A0821" w:rsidRPr="005A64A9">
        <w:t xml:space="preserve">ousing </w:t>
      </w:r>
      <w:r w:rsidR="005A64A9">
        <w:t>n</w:t>
      </w:r>
      <w:r w:rsidR="004A0821" w:rsidRPr="005A64A9">
        <w:t>eed</w:t>
      </w:r>
      <w:r w:rsidR="004A0821">
        <w:t xml:space="preserve"> and th</w:t>
      </w:r>
      <w:r w:rsidR="006170AB">
        <w:t xml:space="preserve">is </w:t>
      </w:r>
      <w:r w:rsidR="00AC1BEA">
        <w:t xml:space="preserve">is </w:t>
      </w:r>
      <w:r w:rsidR="006170AB">
        <w:t xml:space="preserve">reflected in the importance </w:t>
      </w:r>
      <w:r w:rsidR="006170AB" w:rsidRPr="005A64A9">
        <w:t xml:space="preserve">the </w:t>
      </w:r>
      <w:r w:rsidR="005A64A9">
        <w:t>d</w:t>
      </w:r>
      <w:r w:rsidR="004A0821" w:rsidRPr="005A64A9">
        <w:t xml:space="preserve">elivery of </w:t>
      </w:r>
      <w:r w:rsidR="005A64A9">
        <w:t>h</w:t>
      </w:r>
      <w:r w:rsidR="004A0821" w:rsidRPr="005A64A9">
        <w:t xml:space="preserve">ousing </w:t>
      </w:r>
      <w:r w:rsidR="005A64A9">
        <w:t>s</w:t>
      </w:r>
      <w:r w:rsidR="004A0821" w:rsidRPr="005A64A9">
        <w:t>upply</w:t>
      </w:r>
      <w:r w:rsidR="004A0821">
        <w:t xml:space="preserve"> </w:t>
      </w:r>
      <w:r w:rsidR="006170AB">
        <w:t>has been given in the</w:t>
      </w:r>
      <w:r w:rsidR="005A64A9">
        <w:t xml:space="preserve"> current and proposed refreshed</w:t>
      </w:r>
      <w:r w:rsidR="004A0821">
        <w:t xml:space="preserve"> Housing and Homeless Strategy for 2018 to 2021. The proposals in this report support these objectives. </w:t>
      </w:r>
    </w:p>
    <w:p w:rsidR="00C0469F" w:rsidRDefault="00C04D5E" w:rsidP="00D34540">
      <w:pPr>
        <w:numPr>
          <w:ilvl w:val="0"/>
          <w:numId w:val="34"/>
        </w:numPr>
      </w:pPr>
      <w:r>
        <w:t xml:space="preserve">The provision of additional social housing is facilitated by the use of </w:t>
      </w:r>
      <w:r w:rsidR="0054212F">
        <w:t>retained</w:t>
      </w:r>
      <w:r w:rsidR="005A64A9">
        <w:t xml:space="preserve"> right to buy (</w:t>
      </w:r>
      <w:r w:rsidR="0054212F">
        <w:t>RTB</w:t>
      </w:r>
      <w:r w:rsidR="005A64A9">
        <w:t>)</w:t>
      </w:r>
      <w:r w:rsidR="0054212F">
        <w:t xml:space="preserve"> capital receipts re-cycled into 1-4-1 replacement</w:t>
      </w:r>
      <w:r w:rsidR="005A64A9">
        <w:t>.</w:t>
      </w:r>
      <w:r w:rsidR="0054212F">
        <w:t xml:space="preserve"> </w:t>
      </w:r>
      <w:r w:rsidR="006D67B2">
        <w:t xml:space="preserve">The Council is required to spend </w:t>
      </w:r>
      <w:r>
        <w:t xml:space="preserve">its </w:t>
      </w:r>
      <w:r w:rsidR="005A64A9">
        <w:t>r</w:t>
      </w:r>
      <w:r w:rsidR="00546AE3">
        <w:t xml:space="preserve">etained </w:t>
      </w:r>
      <w:r w:rsidR="006D67B2">
        <w:t>R</w:t>
      </w:r>
      <w:r w:rsidR="005A64A9">
        <w:t>TB</w:t>
      </w:r>
      <w:r w:rsidR="006D67B2">
        <w:t xml:space="preserve"> </w:t>
      </w:r>
      <w:r>
        <w:t xml:space="preserve">capital </w:t>
      </w:r>
      <w:r w:rsidR="006D67B2">
        <w:t>receipts within a 3 year deadline</w:t>
      </w:r>
      <w:r w:rsidR="00546AE3">
        <w:t xml:space="preserve"> </w:t>
      </w:r>
      <w:r>
        <w:t xml:space="preserve">or be forced to return them </w:t>
      </w:r>
      <w:r w:rsidR="0054212F">
        <w:t xml:space="preserve">back to the Government </w:t>
      </w:r>
      <w:r>
        <w:t xml:space="preserve">along with accumulated interest calculated at 4% above the prevailing base rate. The Council </w:t>
      </w:r>
      <w:r w:rsidR="0054212F">
        <w:t xml:space="preserve">is determined to ensure these resources are not returned centrally and instead used locally to meet Oxford’s housing </w:t>
      </w:r>
      <w:r w:rsidR="005A64A9">
        <w:t>need. These</w:t>
      </w:r>
      <w:r w:rsidR="0054212F">
        <w:t xml:space="preserve"> schemes have initially concentrated</w:t>
      </w:r>
      <w:r w:rsidR="004262CE">
        <w:t xml:space="preserve"> on </w:t>
      </w:r>
      <w:r w:rsidR="005A64A9">
        <w:t>the purchase</w:t>
      </w:r>
      <w:r w:rsidR="00FD0CCC">
        <w:t xml:space="preserve"> </w:t>
      </w:r>
      <w:r w:rsidR="004262CE">
        <w:t xml:space="preserve">of </w:t>
      </w:r>
      <w:r w:rsidR="00FD0CCC">
        <w:t>additional temporary accommodation</w:t>
      </w:r>
      <w:r w:rsidR="008F7486">
        <w:t xml:space="preserve"> (TA)</w:t>
      </w:r>
      <w:r w:rsidR="00FD0CCC">
        <w:t xml:space="preserve"> </w:t>
      </w:r>
      <w:r w:rsidR="004262CE">
        <w:t>properties</w:t>
      </w:r>
      <w:r w:rsidR="005A64A9">
        <w:t xml:space="preserve"> </w:t>
      </w:r>
      <w:r w:rsidR="00FD0CCC">
        <w:t>in Oxford where possible, but also outside of the City</w:t>
      </w:r>
      <w:r w:rsidR="00C0469F">
        <w:t>.</w:t>
      </w:r>
      <w:r w:rsidR="00687572">
        <w:t xml:space="preserve"> </w:t>
      </w:r>
      <w:r w:rsidR="00C0469F">
        <w:t>Th</w:t>
      </w:r>
      <w:r w:rsidR="00D34540">
        <w:t>is</w:t>
      </w:r>
      <w:r w:rsidR="008F7486">
        <w:t xml:space="preserve"> </w:t>
      </w:r>
      <w:r w:rsidR="00C0469F">
        <w:t xml:space="preserve">new </w:t>
      </w:r>
      <w:r w:rsidR="008F7486">
        <w:t xml:space="preserve">provision </w:t>
      </w:r>
      <w:r w:rsidR="00C0469F">
        <w:t>will be used to replace existing private sector lease properties used by the Council</w:t>
      </w:r>
      <w:r w:rsidR="00837E8C">
        <w:t xml:space="preserve"> </w:t>
      </w:r>
      <w:r w:rsidR="00D820EC">
        <w:t xml:space="preserve">(as </w:t>
      </w:r>
      <w:r w:rsidR="00161B0A">
        <w:t>r</w:t>
      </w:r>
      <w:r w:rsidR="00D820EC">
        <w:t>eport</w:t>
      </w:r>
      <w:r w:rsidR="00161B0A">
        <w:t>ed and</w:t>
      </w:r>
      <w:r w:rsidR="00D820EC">
        <w:t xml:space="preserve"> approved by the CEB on 15/12/16)</w:t>
      </w:r>
      <w:r w:rsidR="00C0469F">
        <w:t xml:space="preserve">. </w:t>
      </w:r>
    </w:p>
    <w:p w:rsidR="00D34540" w:rsidRDefault="00C0469F" w:rsidP="00D34540">
      <w:pPr>
        <w:numPr>
          <w:ilvl w:val="0"/>
          <w:numId w:val="34"/>
        </w:numPr>
      </w:pPr>
      <w:r>
        <w:t xml:space="preserve">Due </w:t>
      </w:r>
      <w:r w:rsidR="00AC1BEA">
        <w:t xml:space="preserve">to </w:t>
      </w:r>
      <w:r>
        <w:t xml:space="preserve">the high cost of properties for sale on the open market in Oxford and the limited number of suitable properties becoming available it was acknowledged from the outset that it </w:t>
      </w:r>
      <w:r w:rsidR="00687572">
        <w:t xml:space="preserve">may not </w:t>
      </w:r>
      <w:r>
        <w:t>be possible to purchase all of the new temporary accommodation within Oxford</w:t>
      </w:r>
      <w:r w:rsidR="00687572">
        <w:t xml:space="preserve"> within the timescale for the use of the receipts</w:t>
      </w:r>
      <w:r>
        <w:t>.</w:t>
      </w:r>
      <w:r w:rsidR="007F1E8A">
        <w:t xml:space="preserve"> A limited number of properties have been acquired in nearby</w:t>
      </w:r>
      <w:r>
        <w:t xml:space="preserve"> towns</w:t>
      </w:r>
      <w:r w:rsidR="007F1E8A">
        <w:t xml:space="preserve"> </w:t>
      </w:r>
      <w:r>
        <w:t xml:space="preserve">that have good facilities and </w:t>
      </w:r>
      <w:proofErr w:type="gramStart"/>
      <w:r w:rsidR="008F7486">
        <w:t>transport links and are</w:t>
      </w:r>
      <w:proofErr w:type="gramEnd"/>
      <w:r>
        <w:t xml:space="preserve"> within a reasonable commutable distance to the City.</w:t>
      </w:r>
    </w:p>
    <w:p w:rsidR="00837E8C" w:rsidRDefault="00837E8C" w:rsidP="00B451DD">
      <w:pPr>
        <w:ind w:left="360"/>
      </w:pPr>
    </w:p>
    <w:p w:rsidR="00D34540" w:rsidRPr="00D820EC" w:rsidRDefault="00D34540" w:rsidP="00D34540">
      <w:pPr>
        <w:rPr>
          <w:b/>
        </w:rPr>
      </w:pPr>
      <w:r w:rsidRPr="00D820EC">
        <w:rPr>
          <w:b/>
        </w:rPr>
        <w:t>Delivery of Housing Supply</w:t>
      </w:r>
    </w:p>
    <w:p w:rsidR="00C0469F" w:rsidRDefault="004262CE" w:rsidP="002F30DB">
      <w:pPr>
        <w:numPr>
          <w:ilvl w:val="0"/>
          <w:numId w:val="34"/>
        </w:numPr>
      </w:pPr>
      <w:r>
        <w:t>The Council’s current G</w:t>
      </w:r>
      <w:r w:rsidR="008F7486">
        <w:t xml:space="preserve">eneral </w:t>
      </w:r>
      <w:r>
        <w:t>F</w:t>
      </w:r>
      <w:r w:rsidR="008F7486">
        <w:t>und</w:t>
      </w:r>
      <w:r>
        <w:t xml:space="preserve"> capital programme includes £10m for the acquisition of TA properties across </w:t>
      </w:r>
      <w:r w:rsidR="003F696C">
        <w:t>2017</w:t>
      </w:r>
      <w:r w:rsidR="001122A0">
        <w:t xml:space="preserve">/18 and </w:t>
      </w:r>
      <w:r>
        <w:t>20</w:t>
      </w:r>
      <w:r w:rsidR="001122A0">
        <w:t>18/19</w:t>
      </w:r>
      <w:r>
        <w:t>.</w:t>
      </w:r>
      <w:r w:rsidR="003F696C">
        <w:t xml:space="preserve"> </w:t>
      </w:r>
      <w:r>
        <w:t xml:space="preserve">These acquisitions will utilise retained RTB capital receipts and </w:t>
      </w:r>
      <w:r w:rsidR="003F696C">
        <w:t xml:space="preserve">the properties being purchased include 20 new build properties in two blocks of </w:t>
      </w:r>
      <w:r w:rsidR="00DA06E9">
        <w:t xml:space="preserve">10 </w:t>
      </w:r>
      <w:r w:rsidR="003F696C">
        <w:t>flats</w:t>
      </w:r>
      <w:r w:rsidR="008F7486">
        <w:t xml:space="preserve"> at</w:t>
      </w:r>
      <w:r w:rsidR="003F696C">
        <w:t xml:space="preserve"> Great Western Park, Didcot.</w:t>
      </w:r>
      <w:r w:rsidR="00DA06E9">
        <w:t xml:space="preserve"> Each block consists of 8</w:t>
      </w:r>
      <w:r w:rsidR="002F30DB">
        <w:t xml:space="preserve"> </w:t>
      </w:r>
      <w:r w:rsidR="00DA06E9">
        <w:t>two-bedroom and 2 one-bedroom flats.</w:t>
      </w:r>
    </w:p>
    <w:p w:rsidR="00D34540" w:rsidRDefault="00D34540" w:rsidP="00D34540">
      <w:pPr>
        <w:numPr>
          <w:ilvl w:val="0"/>
          <w:numId w:val="34"/>
        </w:numPr>
      </w:pPr>
      <w:r>
        <w:t>The Council does not need to use both blocks of flats in Great Western Park for use as temporary accommodation</w:t>
      </w:r>
      <w:r w:rsidR="00AC1BEA">
        <w:t xml:space="preserve"> and they </w:t>
      </w:r>
      <w:r>
        <w:t xml:space="preserve">could not be purchased </w:t>
      </w:r>
      <w:r w:rsidR="004262CE">
        <w:t xml:space="preserve">from the developer </w:t>
      </w:r>
      <w:r>
        <w:t>individual</w:t>
      </w:r>
      <w:r w:rsidR="00AC1BEA">
        <w:t>ly.</w:t>
      </w:r>
      <w:r w:rsidR="008F7486">
        <w:t xml:space="preserve"> It is therefore</w:t>
      </w:r>
      <w:r w:rsidR="00AC1BEA">
        <w:t xml:space="preserve"> </w:t>
      </w:r>
      <w:r>
        <w:t xml:space="preserve">proposed </w:t>
      </w:r>
      <w:r w:rsidR="008F7486">
        <w:t xml:space="preserve">that </w:t>
      </w:r>
      <w:r>
        <w:t xml:space="preserve">one block of 10 flats is </w:t>
      </w:r>
      <w:r w:rsidR="004262CE">
        <w:t xml:space="preserve">transferred to the HRA </w:t>
      </w:r>
      <w:r w:rsidR="00AC1BEA">
        <w:t xml:space="preserve"> t</w:t>
      </w:r>
      <w:r>
        <w:t>o be let as social housing to households in housing need on the Housing Register in Oxford</w:t>
      </w:r>
      <w:r w:rsidR="00AC1BEA">
        <w:t>,</w:t>
      </w:r>
      <w:r>
        <w:t xml:space="preserve"> by advertising the properties through Choice-Based Lettings.  This will increase the supply of </w:t>
      </w:r>
      <w:r w:rsidR="004262CE">
        <w:t xml:space="preserve">new </w:t>
      </w:r>
      <w:r>
        <w:t>housing available to let and go some way to help meet the unmet demand on the Housing Register.</w:t>
      </w:r>
    </w:p>
    <w:p w:rsidR="00450CF6" w:rsidRDefault="007E7314" w:rsidP="002F30DB">
      <w:pPr>
        <w:numPr>
          <w:ilvl w:val="0"/>
          <w:numId w:val="34"/>
        </w:numPr>
      </w:pPr>
      <w:r>
        <w:t xml:space="preserve">The Council seeks to prevent homelessness where possible and various housing options are used </w:t>
      </w:r>
      <w:r w:rsidR="00AC1BEA">
        <w:t xml:space="preserve">to </w:t>
      </w:r>
      <w:r>
        <w:t xml:space="preserve">do this including housing households on the Housing Register into social housing </w:t>
      </w:r>
      <w:r w:rsidR="00450CF6">
        <w:t>before they become</w:t>
      </w:r>
      <w:r>
        <w:t xml:space="preserve"> homeless.  Where it is not possible to prevent a household from becoming homeless the Council may have a duty, mainly to families wit</w:t>
      </w:r>
      <w:r w:rsidR="006F5D7C">
        <w:t xml:space="preserve">h dependent </w:t>
      </w:r>
      <w:r>
        <w:t>children, to provide them with temporary accommodation</w:t>
      </w:r>
      <w:r w:rsidR="00837E8C">
        <w:t xml:space="preserve"> t</w:t>
      </w:r>
      <w:r w:rsidR="00151022">
        <w:t xml:space="preserve">o enable </w:t>
      </w:r>
      <w:r>
        <w:t xml:space="preserve">further </w:t>
      </w:r>
      <w:r w:rsidR="00450CF6">
        <w:t>inquiries to be made into the</w:t>
      </w:r>
      <w:r w:rsidR="00151022">
        <w:t xml:space="preserve">ir </w:t>
      </w:r>
      <w:r w:rsidR="00450CF6">
        <w:t xml:space="preserve">reasons for becoming homeless or </w:t>
      </w:r>
      <w:r>
        <w:t xml:space="preserve">until they are offered more suitable accommodation. </w:t>
      </w:r>
    </w:p>
    <w:p w:rsidR="00CB4D9A" w:rsidRPr="007F1E8A" w:rsidRDefault="00450CF6" w:rsidP="002F30DB">
      <w:pPr>
        <w:numPr>
          <w:ilvl w:val="0"/>
          <w:numId w:val="34"/>
        </w:numPr>
      </w:pPr>
      <w:r>
        <w:lastRenderedPageBreak/>
        <w:t xml:space="preserve">The Council has a </w:t>
      </w:r>
      <w:r w:rsidR="007F1E8A">
        <w:t xml:space="preserve">target of </w:t>
      </w:r>
      <w:r>
        <w:t>hav</w:t>
      </w:r>
      <w:r w:rsidR="007F1E8A">
        <w:t>ing</w:t>
      </w:r>
      <w:r>
        <w:t xml:space="preserve"> no more </w:t>
      </w:r>
      <w:r w:rsidR="00AC1BEA">
        <w:t xml:space="preserve">than </w:t>
      </w:r>
      <w:r>
        <w:t xml:space="preserve">120 households in homeless temporary accommodation.  It is recognised that </w:t>
      </w:r>
      <w:r w:rsidR="007E7314">
        <w:t>it is not desirable for households to spend long periods of time in temporary accommodation</w:t>
      </w:r>
      <w:r w:rsidR="006F5D7C">
        <w:t xml:space="preserve"> due to </w:t>
      </w:r>
      <w:r w:rsidR="007F1E8A">
        <w:t>the</w:t>
      </w:r>
      <w:r w:rsidR="002F6374">
        <w:t xml:space="preserve"> </w:t>
      </w:r>
      <w:r w:rsidR="006F5D7C">
        <w:t xml:space="preserve">pressure this places </w:t>
      </w:r>
      <w:r w:rsidR="00151022">
        <w:t>them</w:t>
      </w:r>
      <w:r w:rsidR="00AC1BEA">
        <w:t xml:space="preserve"> under</w:t>
      </w:r>
      <w:r w:rsidR="00151022">
        <w:t xml:space="preserve">, particularly </w:t>
      </w:r>
      <w:r w:rsidR="006F5D7C">
        <w:t>families</w:t>
      </w:r>
      <w:r w:rsidR="00151022">
        <w:t xml:space="preserve"> with children,</w:t>
      </w:r>
      <w:r w:rsidR="006F5D7C">
        <w:t xml:space="preserve"> and the cost</w:t>
      </w:r>
      <w:r w:rsidR="00151022">
        <w:t xml:space="preserve"> to the Council </w:t>
      </w:r>
      <w:r>
        <w:t xml:space="preserve">of </w:t>
      </w:r>
      <w:r w:rsidR="006F5D7C">
        <w:t>providing this accommodation</w:t>
      </w:r>
      <w:r w:rsidR="00151022">
        <w:t>.</w:t>
      </w:r>
      <w:r w:rsidR="00DA06E9">
        <w:t xml:space="preserve"> </w:t>
      </w:r>
      <w:r w:rsidR="00151022">
        <w:t>The Council seeks to ensure there is sufficient temporary accommodation available to house homeless households</w:t>
      </w:r>
      <w:r w:rsidR="006A7A74">
        <w:t xml:space="preserve"> that </w:t>
      </w:r>
      <w:r w:rsidR="00151022">
        <w:t xml:space="preserve">it </w:t>
      </w:r>
      <w:r w:rsidR="006A7A74">
        <w:t xml:space="preserve">has </w:t>
      </w:r>
      <w:r w:rsidR="00151022">
        <w:t>a duty to accommodate.</w:t>
      </w:r>
      <w:r w:rsidR="00AC1BEA">
        <w:t xml:space="preserve">  The new properties that are purchased for temporary accommodation are being used to replace </w:t>
      </w:r>
      <w:r w:rsidR="00CB4D9A">
        <w:t xml:space="preserve">existing more expensive </w:t>
      </w:r>
      <w:r w:rsidR="00AC1BEA">
        <w:t xml:space="preserve">accommodation </w:t>
      </w:r>
      <w:r w:rsidR="00CB4D9A">
        <w:t xml:space="preserve">leased from private sector landlords and to manage the pressure on the homeless </w:t>
      </w:r>
      <w:r w:rsidR="00CB4D9A" w:rsidRPr="007F1E8A">
        <w:t xml:space="preserve">budget. </w:t>
      </w:r>
    </w:p>
    <w:p w:rsidR="00833B10" w:rsidRDefault="00A62904" w:rsidP="00833B10">
      <w:pPr>
        <w:numPr>
          <w:ilvl w:val="0"/>
          <w:numId w:val="34"/>
        </w:numPr>
        <w:autoSpaceDE w:val="0"/>
        <w:autoSpaceDN w:val="0"/>
        <w:adjustRightInd w:val="0"/>
        <w:spacing w:after="0"/>
        <w:rPr>
          <w:u w:val="single"/>
        </w:rPr>
      </w:pPr>
      <w:r w:rsidRPr="007F1E8A">
        <w:t xml:space="preserve">A joint report on </w:t>
      </w:r>
      <w:r w:rsidRPr="007F1E8A">
        <w:rPr>
          <w:rFonts w:ascii="Arial-BoldMT" w:hAnsi="Arial-BoldMT" w:cs="Arial-BoldMT"/>
          <w:bCs/>
          <w:color w:val="auto"/>
        </w:rPr>
        <w:t xml:space="preserve">Homeless Accommodation Property Investment and Retained Right to Buy Capital Receipts Qualifying Expenditure </w:t>
      </w:r>
      <w:r w:rsidR="00151022" w:rsidRPr="007F1E8A">
        <w:t xml:space="preserve">was submitted to the CEB on 15/12/16 </w:t>
      </w:r>
      <w:r w:rsidR="006A7A74" w:rsidRPr="007F1E8A">
        <w:t xml:space="preserve">by </w:t>
      </w:r>
      <w:r w:rsidR="002F6374">
        <w:t xml:space="preserve">the </w:t>
      </w:r>
      <w:r w:rsidR="006A7A74" w:rsidRPr="007F1E8A">
        <w:t>H</w:t>
      </w:r>
      <w:r w:rsidR="00151022" w:rsidRPr="007F1E8A">
        <w:t>ead of Housing and the Head of Financial Services</w:t>
      </w:r>
      <w:r w:rsidRPr="007F1E8A">
        <w:t xml:space="preserve">.  </w:t>
      </w:r>
      <w:r w:rsidR="004262CE" w:rsidRPr="007F1E8A">
        <w:t>As previously stated</w:t>
      </w:r>
      <w:r w:rsidR="004262CE">
        <w:t xml:space="preserve"> t</w:t>
      </w:r>
      <w:r>
        <w:t xml:space="preserve">his resulted in the </w:t>
      </w:r>
      <w:r w:rsidR="006A7A74">
        <w:t>approval to</w:t>
      </w:r>
      <w:r w:rsidR="00E71F46">
        <w:t xml:space="preserve"> spend up to £10 million from </w:t>
      </w:r>
      <w:r w:rsidR="00EA7DBE">
        <w:t xml:space="preserve">within </w:t>
      </w:r>
      <w:r w:rsidR="00E71F46">
        <w:t>the</w:t>
      </w:r>
      <w:r w:rsidR="00EA7DBE">
        <w:t xml:space="preserve"> Council’s</w:t>
      </w:r>
      <w:r w:rsidR="00E71F46">
        <w:t xml:space="preserve"> General Fund </w:t>
      </w:r>
      <w:r w:rsidR="00EA7DBE">
        <w:t xml:space="preserve">capital programme </w:t>
      </w:r>
      <w:r w:rsidR="00E71F46">
        <w:t>to</w:t>
      </w:r>
      <w:r w:rsidR="006A7A74">
        <w:t xml:space="preserve"> </w:t>
      </w:r>
      <w:r w:rsidR="00151022">
        <w:t xml:space="preserve">purchase additional units of </w:t>
      </w:r>
      <w:r w:rsidR="006A7A74">
        <w:t xml:space="preserve">temporary </w:t>
      </w:r>
      <w:proofErr w:type="spellStart"/>
      <w:r w:rsidR="00151022">
        <w:t>accommodation</w:t>
      </w:r>
      <w:r w:rsidR="006A7A74">
        <w:t>.</w:t>
      </w:r>
      <w:r w:rsidR="00E71F46">
        <w:t>The</w:t>
      </w:r>
      <w:proofErr w:type="spellEnd"/>
      <w:r w:rsidR="00E71F46">
        <w:t xml:space="preserve"> fund</w:t>
      </w:r>
      <w:r w:rsidR="00EA7DBE">
        <w:t>ing</w:t>
      </w:r>
      <w:r w:rsidR="00E71F46">
        <w:t xml:space="preserve"> </w:t>
      </w:r>
      <w:r w:rsidR="00EA7DBE">
        <w:t>of this scheme</w:t>
      </w:r>
      <w:r w:rsidR="00E71F46">
        <w:t xml:space="preserve"> include</w:t>
      </w:r>
      <w:r w:rsidR="00EA7DBE">
        <w:t>d</w:t>
      </w:r>
      <w:r w:rsidR="00E71F46">
        <w:t xml:space="preserve"> £3 million of retained </w:t>
      </w:r>
      <w:r w:rsidR="00EA7DBE">
        <w:t>RTB</w:t>
      </w:r>
      <w:r w:rsidR="00E71F46">
        <w:t xml:space="preserve"> </w:t>
      </w:r>
      <w:r w:rsidR="00EA7DBE">
        <w:t xml:space="preserve">capital </w:t>
      </w:r>
      <w:r w:rsidR="00E71F46">
        <w:t xml:space="preserve">receipts that </w:t>
      </w:r>
      <w:r w:rsidR="00CB4D9A">
        <w:t xml:space="preserve">if unused would need to be returned </w:t>
      </w:r>
      <w:proofErr w:type="gramStart"/>
      <w:r w:rsidR="00CB4D9A">
        <w:t xml:space="preserve">to </w:t>
      </w:r>
      <w:r w:rsidR="00E71F46">
        <w:t xml:space="preserve"> Government</w:t>
      </w:r>
      <w:proofErr w:type="gramEnd"/>
      <w:r w:rsidR="007F1E8A">
        <w:t>.</w:t>
      </w:r>
    </w:p>
    <w:p w:rsidR="00833B10" w:rsidRDefault="00833B10" w:rsidP="00833B10">
      <w:pPr>
        <w:autoSpaceDE w:val="0"/>
        <w:autoSpaceDN w:val="0"/>
        <w:adjustRightInd w:val="0"/>
        <w:spacing w:after="0"/>
        <w:ind w:left="360"/>
        <w:rPr>
          <w:u w:val="single"/>
        </w:rPr>
      </w:pPr>
    </w:p>
    <w:p w:rsidR="006F7852" w:rsidRPr="007F1E8A" w:rsidRDefault="006F7852" w:rsidP="00833B10">
      <w:pPr>
        <w:numPr>
          <w:ilvl w:val="0"/>
          <w:numId w:val="34"/>
        </w:numPr>
        <w:autoSpaceDE w:val="0"/>
        <w:autoSpaceDN w:val="0"/>
        <w:adjustRightInd w:val="0"/>
        <w:spacing w:after="0"/>
        <w:rPr>
          <w:u w:val="single"/>
        </w:rPr>
      </w:pPr>
      <w:r w:rsidRPr="007F1E8A">
        <w:t xml:space="preserve">A further report titled </w:t>
      </w:r>
      <w:r w:rsidRPr="007F1E8A">
        <w:rPr>
          <w:rFonts w:eastAsia="Arial" w:cs="Arial"/>
          <w:bCs/>
        </w:rPr>
        <w:t>Officer Delegation</w:t>
      </w:r>
      <w:r w:rsidRPr="007F1E8A">
        <w:rPr>
          <w:rFonts w:eastAsia="Arial" w:cs="Arial"/>
          <w:bCs/>
          <w:spacing w:val="-12"/>
        </w:rPr>
        <w:t xml:space="preserve"> </w:t>
      </w:r>
      <w:r w:rsidRPr="007F1E8A">
        <w:rPr>
          <w:rFonts w:eastAsia="Arial" w:cs="Arial"/>
          <w:bCs/>
        </w:rPr>
        <w:t>to</w:t>
      </w:r>
      <w:r w:rsidRPr="007F1E8A">
        <w:rPr>
          <w:rFonts w:eastAsia="Arial" w:cs="Arial"/>
          <w:bCs/>
          <w:spacing w:val="-2"/>
        </w:rPr>
        <w:t xml:space="preserve"> </w:t>
      </w:r>
      <w:r w:rsidRPr="007F1E8A">
        <w:rPr>
          <w:rFonts w:eastAsia="Arial" w:cs="Arial"/>
          <w:bCs/>
        </w:rPr>
        <w:t>approve Property Purchases over</w:t>
      </w:r>
      <w:r w:rsidRPr="007F1E8A">
        <w:t xml:space="preserve"> </w:t>
      </w:r>
    </w:p>
    <w:p w:rsidR="006F7852" w:rsidRPr="007F1E8A" w:rsidRDefault="006F7852" w:rsidP="006F7852">
      <w:pPr>
        <w:spacing w:after="0"/>
        <w:ind w:right="-20"/>
        <w:rPr>
          <w:rFonts w:eastAsia="Arial" w:cs="Arial"/>
          <w:bCs/>
        </w:rPr>
      </w:pPr>
      <w:r w:rsidRPr="007F1E8A">
        <w:rPr>
          <w:rFonts w:eastAsia="Arial" w:cs="Arial"/>
          <w:bCs/>
        </w:rPr>
        <w:t xml:space="preserve">     £500,000 for Homeless Accommodation</w:t>
      </w:r>
      <w:r w:rsidRPr="007F1E8A">
        <w:rPr>
          <w:rFonts w:eastAsia="Arial" w:cs="Arial"/>
          <w:bCs/>
          <w:spacing w:val="-19"/>
        </w:rPr>
        <w:t xml:space="preserve"> </w:t>
      </w:r>
      <w:r w:rsidRPr="007F1E8A">
        <w:rPr>
          <w:rFonts w:eastAsia="Arial" w:cs="Arial"/>
          <w:bCs/>
        </w:rPr>
        <w:t>Property was submitted to CEB on</w:t>
      </w:r>
    </w:p>
    <w:p w:rsidR="00E71F46" w:rsidRPr="007F1E8A" w:rsidRDefault="00EA7DBE" w:rsidP="00833B10">
      <w:pPr>
        <w:spacing w:after="0"/>
        <w:ind w:left="360" w:right="-20"/>
        <w:rPr>
          <w:u w:val="single"/>
        </w:rPr>
      </w:pPr>
      <w:proofErr w:type="gramStart"/>
      <w:r w:rsidRPr="007F1E8A">
        <w:rPr>
          <w:rFonts w:eastAsia="Arial" w:cs="Arial"/>
          <w:bCs/>
        </w:rPr>
        <w:t>0</w:t>
      </w:r>
      <w:r w:rsidR="006F7852" w:rsidRPr="007F1E8A">
        <w:rPr>
          <w:rFonts w:eastAsia="Arial" w:cs="Arial"/>
          <w:bCs/>
        </w:rPr>
        <w:t>9/</w:t>
      </w:r>
      <w:r w:rsidRPr="007F1E8A">
        <w:rPr>
          <w:rFonts w:eastAsia="Arial" w:cs="Arial"/>
          <w:bCs/>
        </w:rPr>
        <w:t>0</w:t>
      </w:r>
      <w:r w:rsidR="006F7852" w:rsidRPr="007F1E8A">
        <w:rPr>
          <w:rFonts w:eastAsia="Arial" w:cs="Arial"/>
          <w:bCs/>
        </w:rPr>
        <w:t>3/17</w:t>
      </w:r>
      <w:r w:rsidR="002F6374">
        <w:rPr>
          <w:rFonts w:eastAsia="Arial" w:cs="Arial"/>
          <w:bCs/>
        </w:rPr>
        <w:t>,</w:t>
      </w:r>
      <w:r w:rsidR="00833B10" w:rsidRPr="007F1E8A">
        <w:rPr>
          <w:rFonts w:eastAsia="Arial" w:cs="Arial"/>
          <w:bCs/>
        </w:rPr>
        <w:t xml:space="preserve"> </w:t>
      </w:r>
      <w:r w:rsidR="006F7852" w:rsidRPr="007F1E8A">
        <w:rPr>
          <w:rFonts w:eastAsia="Arial" w:cs="Arial"/>
          <w:bCs/>
        </w:rPr>
        <w:t xml:space="preserve">by </w:t>
      </w:r>
      <w:r w:rsidR="00833B10" w:rsidRPr="007F1E8A">
        <w:rPr>
          <w:rFonts w:eastAsia="Arial" w:cs="Arial"/>
          <w:bCs/>
        </w:rPr>
        <w:t xml:space="preserve">the </w:t>
      </w:r>
      <w:r w:rsidR="006F7852" w:rsidRPr="007F1E8A">
        <w:rPr>
          <w:rFonts w:eastAsia="Arial" w:cs="Arial"/>
          <w:bCs/>
        </w:rPr>
        <w:t>Executive Director for City Regeneration and</w:t>
      </w:r>
      <w:r w:rsidR="006F7852" w:rsidRPr="007F1E8A">
        <w:rPr>
          <w:rFonts w:eastAsia="Arial" w:cs="Arial"/>
          <w:bCs/>
          <w:spacing w:val="-4"/>
        </w:rPr>
        <w:t xml:space="preserve"> </w:t>
      </w:r>
      <w:r w:rsidR="006F7852" w:rsidRPr="007F1E8A">
        <w:rPr>
          <w:rFonts w:eastAsia="Arial" w:cs="Arial"/>
          <w:bCs/>
        </w:rPr>
        <w:t>Housing.</w:t>
      </w:r>
      <w:proofErr w:type="gramEnd"/>
      <w:r w:rsidR="006F7852" w:rsidRPr="007F1E8A">
        <w:rPr>
          <w:rFonts w:eastAsia="Arial" w:cs="Arial"/>
          <w:bCs/>
        </w:rPr>
        <w:t xml:space="preserve"> This approved the</w:t>
      </w:r>
      <w:r w:rsidR="006F7852" w:rsidRPr="007F1E8A">
        <w:rPr>
          <w:rFonts w:eastAsia="Arial" w:cs="Arial"/>
        </w:rPr>
        <w:t xml:space="preserve"> Chief Executive, having notified</w:t>
      </w:r>
      <w:r w:rsidR="006F7852" w:rsidRPr="007F1E8A">
        <w:rPr>
          <w:rFonts w:eastAsia="Arial" w:cs="Arial"/>
          <w:spacing w:val="-1"/>
        </w:rPr>
        <w:t xml:space="preserve"> </w:t>
      </w:r>
      <w:r w:rsidR="006F7852" w:rsidRPr="007F1E8A">
        <w:rPr>
          <w:rFonts w:eastAsia="Arial" w:cs="Arial"/>
        </w:rPr>
        <w:t>in</w:t>
      </w:r>
      <w:r w:rsidR="006F7852" w:rsidRPr="007F1E8A">
        <w:rPr>
          <w:rFonts w:eastAsia="Arial" w:cs="Arial"/>
          <w:spacing w:val="1"/>
        </w:rPr>
        <w:t xml:space="preserve"> </w:t>
      </w:r>
      <w:r w:rsidR="006F7852" w:rsidRPr="007F1E8A">
        <w:rPr>
          <w:rFonts w:eastAsia="Arial" w:cs="Arial"/>
        </w:rPr>
        <w:t>advance the Board Members for</w:t>
      </w:r>
      <w:r w:rsidR="006F7852" w:rsidRPr="007F1E8A">
        <w:rPr>
          <w:rFonts w:eastAsia="Arial" w:cs="Arial"/>
          <w:spacing w:val="-3"/>
        </w:rPr>
        <w:t xml:space="preserve"> </w:t>
      </w:r>
      <w:r w:rsidR="006F7852" w:rsidRPr="007F1E8A">
        <w:rPr>
          <w:rFonts w:eastAsia="Arial" w:cs="Arial"/>
        </w:rPr>
        <w:t>Finance, Asset</w:t>
      </w:r>
      <w:r w:rsidR="006F7852" w:rsidRPr="007F1E8A">
        <w:rPr>
          <w:rFonts w:eastAsia="Arial" w:cs="Arial"/>
          <w:spacing w:val="-6"/>
        </w:rPr>
        <w:t xml:space="preserve"> </w:t>
      </w:r>
      <w:r w:rsidR="006F7852" w:rsidRPr="007F1E8A">
        <w:rPr>
          <w:rFonts w:eastAsia="Arial" w:cs="Arial"/>
        </w:rPr>
        <w:t>Management</w:t>
      </w:r>
      <w:r w:rsidR="006F7852" w:rsidRPr="007F1E8A">
        <w:rPr>
          <w:rFonts w:eastAsia="Arial" w:cs="Arial"/>
          <w:spacing w:val="-1"/>
        </w:rPr>
        <w:t xml:space="preserve"> </w:t>
      </w:r>
      <w:r w:rsidR="006F7852" w:rsidRPr="007F1E8A">
        <w:rPr>
          <w:rFonts w:eastAsia="Arial" w:cs="Arial"/>
        </w:rPr>
        <w:t>and Public Health,</w:t>
      </w:r>
      <w:r w:rsidR="006F7852" w:rsidRPr="007F1E8A">
        <w:rPr>
          <w:rFonts w:eastAsia="Arial" w:cs="Arial"/>
          <w:spacing w:val="-1"/>
        </w:rPr>
        <w:t xml:space="preserve"> </w:t>
      </w:r>
      <w:r w:rsidR="006F7852" w:rsidRPr="007F1E8A">
        <w:rPr>
          <w:rFonts w:eastAsia="Arial" w:cs="Arial"/>
        </w:rPr>
        <w:t>and Housing, to</w:t>
      </w:r>
      <w:r w:rsidR="006F7852" w:rsidRPr="007F1E8A">
        <w:rPr>
          <w:rFonts w:eastAsia="Arial" w:cs="Arial"/>
          <w:spacing w:val="-2"/>
        </w:rPr>
        <w:t xml:space="preserve"> </w:t>
      </w:r>
      <w:r w:rsidR="006F7852" w:rsidRPr="007F1E8A">
        <w:rPr>
          <w:rFonts w:eastAsia="Arial" w:cs="Arial"/>
        </w:rPr>
        <w:t>approve any property purchases over £500,000 for</w:t>
      </w:r>
      <w:r w:rsidR="006F7852" w:rsidRPr="007F1E8A">
        <w:rPr>
          <w:rFonts w:eastAsia="Arial" w:cs="Arial"/>
          <w:spacing w:val="-3"/>
        </w:rPr>
        <w:t xml:space="preserve"> </w:t>
      </w:r>
      <w:r w:rsidR="006F7852" w:rsidRPr="007F1E8A">
        <w:rPr>
          <w:rFonts w:eastAsia="Arial" w:cs="Arial"/>
        </w:rPr>
        <w:t>the Homeless Accommodation Property Investment</w:t>
      </w:r>
      <w:r w:rsidR="006F7852" w:rsidRPr="007F1E8A">
        <w:rPr>
          <w:rFonts w:eastAsia="Arial" w:cs="Arial"/>
          <w:spacing w:val="-1"/>
        </w:rPr>
        <w:t xml:space="preserve"> </w:t>
      </w:r>
      <w:r w:rsidR="006F7852" w:rsidRPr="007F1E8A">
        <w:rPr>
          <w:rFonts w:eastAsia="Arial" w:cs="Arial"/>
        </w:rPr>
        <w:t xml:space="preserve">project. </w:t>
      </w:r>
      <w:r w:rsidR="00833B10" w:rsidRPr="007F1E8A">
        <w:rPr>
          <w:rFonts w:eastAsia="Arial" w:cs="Arial"/>
        </w:rPr>
        <w:t xml:space="preserve">This delegated authority was sought to </w:t>
      </w:r>
      <w:r w:rsidRPr="007F1E8A">
        <w:rPr>
          <w:rFonts w:eastAsia="Arial" w:cs="Arial"/>
        </w:rPr>
        <w:t>ensure officers could respond to opportunities to acquire suitable properties without having to wait for the normal CEB cycle of meetings. The market dictated that negotiations with developers needed to be undertaken to secure acquisitions of suitable dwellings to utilise retained RTB capital receipts. Any delays could have resulted in missed opportunities</w:t>
      </w:r>
      <w:r w:rsidR="002F6374">
        <w:rPr>
          <w:rFonts w:eastAsia="Arial" w:cs="Arial"/>
        </w:rPr>
        <w:t>.</w:t>
      </w:r>
    </w:p>
    <w:p w:rsidR="00D34540" w:rsidRPr="007F1E8A" w:rsidRDefault="00D34540" w:rsidP="00D820EC">
      <w:pPr>
        <w:autoSpaceDE w:val="0"/>
        <w:autoSpaceDN w:val="0"/>
        <w:adjustRightInd w:val="0"/>
        <w:spacing w:after="0"/>
        <w:ind w:left="360"/>
      </w:pPr>
    </w:p>
    <w:p w:rsidR="003A40E3" w:rsidRDefault="00FB7A17" w:rsidP="002F30DB">
      <w:pPr>
        <w:numPr>
          <w:ilvl w:val="0"/>
          <w:numId w:val="34"/>
        </w:numPr>
      </w:pPr>
      <w:r>
        <w:t xml:space="preserve">The Council </w:t>
      </w:r>
      <w:r w:rsidR="000040A6">
        <w:t xml:space="preserve">currently aims to </w:t>
      </w:r>
      <w:r>
        <w:t xml:space="preserve">ensure that at least 85% of </w:t>
      </w:r>
      <w:r w:rsidR="002F6374">
        <w:t>our TA</w:t>
      </w:r>
      <w:r>
        <w:t xml:space="preserve"> </w:t>
      </w:r>
      <w:r w:rsidR="000040A6">
        <w:t xml:space="preserve">properties </w:t>
      </w:r>
      <w:r>
        <w:t>used for homeless</w:t>
      </w:r>
      <w:r w:rsidR="000040A6">
        <w:t xml:space="preserve"> households (currently 132)</w:t>
      </w:r>
      <w:r>
        <w:t xml:space="preserve"> are within Oxford and </w:t>
      </w:r>
      <w:r w:rsidR="000040A6">
        <w:t xml:space="preserve">no more than </w:t>
      </w:r>
      <w:r>
        <w:t xml:space="preserve">15% are outside of the City. To date the Council have </w:t>
      </w:r>
      <w:r w:rsidR="000040A6">
        <w:t xml:space="preserve">purchased, </w:t>
      </w:r>
      <w:r>
        <w:t xml:space="preserve">or </w:t>
      </w:r>
      <w:r w:rsidR="000040A6">
        <w:t>is</w:t>
      </w:r>
      <w:r>
        <w:t xml:space="preserve"> in the process of purchasing</w:t>
      </w:r>
      <w:r w:rsidR="000040A6">
        <w:t>,</w:t>
      </w:r>
      <w:r>
        <w:t xml:space="preserve"> 18 units of temporary accommodation outside of the City; 10 in Didcot and 8 in Bicester.  This figure excludes the 10 properties in Didcot in Great Western Park it is proposed </w:t>
      </w:r>
      <w:r w:rsidR="009F5CCC">
        <w:t>to transfer</w:t>
      </w:r>
      <w:r>
        <w:t xml:space="preserve"> to the Housing Revenue Account for us</w:t>
      </w:r>
      <w:r w:rsidR="009F5CCC">
        <w:t>e</w:t>
      </w:r>
      <w:r>
        <w:t xml:space="preserve"> a</w:t>
      </w:r>
      <w:r w:rsidR="007845EF">
        <w:t>s</w:t>
      </w:r>
      <w:r>
        <w:t xml:space="preserve"> permanent social housing. </w:t>
      </w:r>
    </w:p>
    <w:p w:rsidR="001F7425" w:rsidRDefault="00CB4D9A" w:rsidP="002F30DB">
      <w:pPr>
        <w:numPr>
          <w:ilvl w:val="0"/>
          <w:numId w:val="34"/>
        </w:numPr>
      </w:pPr>
      <w:r>
        <w:t xml:space="preserve">During the </w:t>
      </w:r>
      <w:r w:rsidR="009F5CCC">
        <w:t>process of identifying suitable</w:t>
      </w:r>
      <w:r w:rsidR="002F6374">
        <w:t xml:space="preserve"> </w:t>
      </w:r>
      <w:r w:rsidR="009F5CCC">
        <w:t>TA and subsequently entering into meaningful dialogue with developers</w:t>
      </w:r>
      <w:r w:rsidR="007845EF">
        <w:t>,</w:t>
      </w:r>
      <w:r w:rsidR="002F6374">
        <w:t xml:space="preserve"> </w:t>
      </w:r>
      <w:r>
        <w:t>a</w:t>
      </w:r>
      <w:r w:rsidR="00FB7A17">
        <w:t xml:space="preserve">n opportunity arose to purchase </w:t>
      </w:r>
      <w:r w:rsidR="000040A6">
        <w:t>two</w:t>
      </w:r>
      <w:r w:rsidR="00FB7A17">
        <w:t xml:space="preserve"> blocks of 10 new build flat</w:t>
      </w:r>
      <w:r w:rsidR="009F5CCC">
        <w:t>s</w:t>
      </w:r>
      <w:r w:rsidR="00FB7A17">
        <w:t xml:space="preserve"> in Great </w:t>
      </w:r>
      <w:r w:rsidR="003B51B1">
        <w:t xml:space="preserve">Western Park </w:t>
      </w:r>
      <w:r w:rsidR="00FB7A17">
        <w:t xml:space="preserve">in </w:t>
      </w:r>
      <w:r w:rsidR="003B51B1">
        <w:t xml:space="preserve">Didcot. </w:t>
      </w:r>
      <w:r w:rsidR="000040A6">
        <w:t xml:space="preserve">Each block </w:t>
      </w:r>
      <w:r w:rsidR="009F5CCC">
        <w:t xml:space="preserve">comprised of </w:t>
      </w:r>
      <w:r w:rsidR="000040A6">
        <w:t xml:space="preserve">8 two-bedroom flats and 2 one-bedroom flats. </w:t>
      </w:r>
      <w:r w:rsidR="00FB7A17">
        <w:t xml:space="preserve"> T</w:t>
      </w:r>
      <w:r w:rsidR="007845EF">
        <w:t xml:space="preserve">he </w:t>
      </w:r>
      <w:r w:rsidR="002F6374">
        <w:t>two</w:t>
      </w:r>
      <w:r w:rsidR="007845EF">
        <w:t xml:space="preserve"> blocks are being sold by the developer as a package and it is not possible to purchase them </w:t>
      </w:r>
      <w:proofErr w:type="spellStart"/>
      <w:r w:rsidR="007845EF">
        <w:t>individually</w:t>
      </w:r>
      <w:r w:rsidR="002F6374">
        <w:t>.</w:t>
      </w:r>
      <w:r w:rsidR="009F5CCC">
        <w:t>The</w:t>
      </w:r>
      <w:proofErr w:type="spellEnd"/>
      <w:r w:rsidR="009F5CCC">
        <w:t xml:space="preserve"> </w:t>
      </w:r>
      <w:r w:rsidR="00F26E71">
        <w:t>transaction</w:t>
      </w:r>
      <w:r w:rsidR="009F5CCC">
        <w:t xml:space="preserve"> is</w:t>
      </w:r>
      <w:r w:rsidR="00962CAF">
        <w:t xml:space="preserve"> considered</w:t>
      </w:r>
      <w:r w:rsidR="00FB7A17">
        <w:t xml:space="preserve"> to represent good value </w:t>
      </w:r>
      <w:r w:rsidR="009F5CCC">
        <w:t>for</w:t>
      </w:r>
      <w:r w:rsidR="00FB7A17">
        <w:t xml:space="preserve"> </w:t>
      </w:r>
      <w:r w:rsidR="009F5CCC">
        <w:t>money</w:t>
      </w:r>
      <w:r w:rsidR="00962CAF">
        <w:t xml:space="preserve"> as the acquisition is deemed to be competitively priced</w:t>
      </w:r>
      <w:r w:rsidR="00FB7A17">
        <w:t>.</w:t>
      </w:r>
      <w:r w:rsidR="00F26E71">
        <w:t xml:space="preserve"> </w:t>
      </w:r>
      <w:r w:rsidR="000040A6">
        <w:t>The Council has exchanged contracts and the purchase of the two blocks is expected to take place in September 2017.</w:t>
      </w:r>
    </w:p>
    <w:p w:rsidR="007F1E8A" w:rsidRDefault="007F1E8A" w:rsidP="006D67B2">
      <w:pPr>
        <w:pStyle w:val="bParagraphtext"/>
        <w:numPr>
          <w:ilvl w:val="0"/>
          <w:numId w:val="0"/>
        </w:numPr>
        <w:ind w:left="426"/>
        <w:rPr>
          <w:b/>
        </w:rPr>
      </w:pPr>
    </w:p>
    <w:p w:rsidR="007F1E8A" w:rsidRDefault="007F1E8A" w:rsidP="006D67B2">
      <w:pPr>
        <w:pStyle w:val="bParagraphtext"/>
        <w:numPr>
          <w:ilvl w:val="0"/>
          <w:numId w:val="0"/>
        </w:numPr>
        <w:ind w:left="426"/>
        <w:rPr>
          <w:b/>
        </w:rPr>
      </w:pPr>
    </w:p>
    <w:p w:rsidR="00D04425" w:rsidRDefault="00D04425" w:rsidP="006D67B2">
      <w:pPr>
        <w:pStyle w:val="bParagraphtext"/>
        <w:numPr>
          <w:ilvl w:val="0"/>
          <w:numId w:val="0"/>
        </w:numPr>
        <w:ind w:left="426"/>
        <w:rPr>
          <w:b/>
        </w:rPr>
      </w:pPr>
    </w:p>
    <w:p w:rsidR="00D04425" w:rsidRDefault="00D04425" w:rsidP="006D67B2">
      <w:pPr>
        <w:pStyle w:val="bParagraphtext"/>
        <w:numPr>
          <w:ilvl w:val="0"/>
          <w:numId w:val="0"/>
        </w:numPr>
        <w:ind w:left="426"/>
        <w:rPr>
          <w:b/>
        </w:rPr>
      </w:pPr>
    </w:p>
    <w:p w:rsidR="00D04425" w:rsidRDefault="00D04425" w:rsidP="006D67B2">
      <w:pPr>
        <w:pStyle w:val="bParagraphtext"/>
        <w:numPr>
          <w:ilvl w:val="0"/>
          <w:numId w:val="0"/>
        </w:numPr>
        <w:ind w:left="426"/>
        <w:rPr>
          <w:b/>
        </w:rPr>
      </w:pPr>
    </w:p>
    <w:p w:rsidR="00D04425" w:rsidRDefault="00D04425" w:rsidP="006D67B2">
      <w:pPr>
        <w:pStyle w:val="bParagraphtext"/>
        <w:numPr>
          <w:ilvl w:val="0"/>
          <w:numId w:val="0"/>
        </w:numPr>
        <w:ind w:left="426"/>
        <w:rPr>
          <w:b/>
        </w:rPr>
      </w:pPr>
    </w:p>
    <w:p w:rsidR="00F26E71" w:rsidRDefault="00F26E71" w:rsidP="006D67B2">
      <w:pPr>
        <w:pStyle w:val="bParagraphtext"/>
        <w:numPr>
          <w:ilvl w:val="0"/>
          <w:numId w:val="0"/>
        </w:numPr>
        <w:ind w:left="426"/>
        <w:rPr>
          <w:b/>
        </w:rPr>
      </w:pPr>
    </w:p>
    <w:p w:rsidR="00837E8C" w:rsidRDefault="00962CAF" w:rsidP="006D67B2">
      <w:pPr>
        <w:pStyle w:val="bParagraphtext"/>
        <w:numPr>
          <w:ilvl w:val="0"/>
          <w:numId w:val="0"/>
        </w:numPr>
        <w:ind w:left="426"/>
      </w:pPr>
      <w:r>
        <w:rPr>
          <w:b/>
        </w:rPr>
        <w:t>Option Appraisal</w:t>
      </w:r>
    </w:p>
    <w:p w:rsidR="00962CAF" w:rsidRDefault="00962CAF" w:rsidP="00B451DD">
      <w:pPr>
        <w:pStyle w:val="bParagraphtext"/>
        <w:numPr>
          <w:ilvl w:val="0"/>
          <w:numId w:val="34"/>
        </w:numPr>
      </w:pPr>
      <w:r>
        <w:t xml:space="preserve">Given the acquisition of 20 TA units </w:t>
      </w:r>
      <w:r w:rsidR="007845EF">
        <w:t>would</w:t>
      </w:r>
      <w:r>
        <w:t xml:space="preserve"> exceed the non-Oxford </w:t>
      </w:r>
      <w:r w:rsidR="007845EF">
        <w:t xml:space="preserve">TA </w:t>
      </w:r>
      <w:r>
        <w:t>property ratio</w:t>
      </w:r>
      <w:r w:rsidR="007845EF">
        <w:t>,</w:t>
      </w:r>
      <w:r>
        <w:t xml:space="preserve"> the options of what to do with the additional 10 units of accommodation </w:t>
      </w:r>
      <w:r w:rsidR="007845EF">
        <w:t>were considered</w:t>
      </w:r>
      <w:r>
        <w:t xml:space="preserve">. </w:t>
      </w:r>
      <w:r w:rsidR="007845EF">
        <w:t>T</w:t>
      </w:r>
      <w:r>
        <w:t>he options available include:</w:t>
      </w:r>
    </w:p>
    <w:p w:rsidR="00962CAF" w:rsidRPr="00962CAF" w:rsidRDefault="00962CAF" w:rsidP="00D04425">
      <w:pPr>
        <w:numPr>
          <w:ilvl w:val="0"/>
          <w:numId w:val="35"/>
        </w:numPr>
        <w:spacing w:after="0"/>
        <w:ind w:left="1080"/>
        <w:rPr>
          <w:rFonts w:cs="Arial"/>
          <w:color w:val="auto"/>
          <w:lang w:eastAsia="en-US"/>
        </w:rPr>
      </w:pPr>
      <w:r w:rsidRPr="00962CAF">
        <w:rPr>
          <w:rFonts w:cs="Arial"/>
          <w:color w:val="auto"/>
          <w:lang w:eastAsia="en-US"/>
        </w:rPr>
        <w:t>Use all 20 units as temporary accommodation – This</w:t>
      </w:r>
      <w:r w:rsidR="007845EF">
        <w:rPr>
          <w:rFonts w:cs="Arial"/>
          <w:color w:val="auto"/>
          <w:lang w:eastAsia="en-US"/>
        </w:rPr>
        <w:t xml:space="preserve"> </w:t>
      </w:r>
      <w:r>
        <w:rPr>
          <w:rFonts w:cs="Arial"/>
          <w:color w:val="auto"/>
          <w:lang w:eastAsia="en-US"/>
        </w:rPr>
        <w:t xml:space="preserve">was </w:t>
      </w:r>
      <w:r w:rsidRPr="00962CAF">
        <w:rPr>
          <w:rFonts w:cs="Arial"/>
          <w:color w:val="auto"/>
          <w:lang w:eastAsia="en-US"/>
        </w:rPr>
        <w:t>not considered desirable</w:t>
      </w:r>
      <w:r w:rsidR="007845EF">
        <w:rPr>
          <w:rFonts w:cs="Arial"/>
          <w:color w:val="auto"/>
          <w:lang w:eastAsia="en-US"/>
        </w:rPr>
        <w:t xml:space="preserve"> as it </w:t>
      </w:r>
      <w:r w:rsidRPr="00962CAF">
        <w:rPr>
          <w:rFonts w:cs="Arial"/>
          <w:color w:val="auto"/>
          <w:lang w:eastAsia="en-US"/>
        </w:rPr>
        <w:t xml:space="preserve"> would exceed the out-of-district limit on TA, and is above </w:t>
      </w:r>
      <w:r>
        <w:rPr>
          <w:rFonts w:cs="Arial"/>
          <w:color w:val="auto"/>
          <w:lang w:eastAsia="en-US"/>
        </w:rPr>
        <w:t xml:space="preserve">perceived </w:t>
      </w:r>
      <w:r w:rsidRPr="00962CAF">
        <w:rPr>
          <w:rFonts w:cs="Arial"/>
          <w:color w:val="auto"/>
          <w:lang w:eastAsia="en-US"/>
        </w:rPr>
        <w:t>requireme</w:t>
      </w:r>
      <w:r>
        <w:rPr>
          <w:rFonts w:cs="Arial"/>
          <w:color w:val="auto"/>
          <w:lang w:eastAsia="en-US"/>
        </w:rPr>
        <w:t>nts, potentially risking high void loss;</w:t>
      </w:r>
    </w:p>
    <w:p w:rsidR="00962CAF" w:rsidRPr="00962CAF" w:rsidRDefault="00962CAF" w:rsidP="00D04425">
      <w:pPr>
        <w:spacing w:after="0"/>
        <w:ind w:left="1080"/>
        <w:rPr>
          <w:rFonts w:cs="Arial"/>
          <w:color w:val="auto"/>
          <w:lang w:eastAsia="en-US"/>
        </w:rPr>
      </w:pPr>
    </w:p>
    <w:p w:rsidR="00962CAF" w:rsidRPr="00962CAF" w:rsidRDefault="00962CAF" w:rsidP="00D04425">
      <w:pPr>
        <w:numPr>
          <w:ilvl w:val="0"/>
          <w:numId w:val="35"/>
        </w:numPr>
        <w:spacing w:after="0"/>
        <w:ind w:left="1080"/>
        <w:rPr>
          <w:rFonts w:cs="Arial"/>
          <w:color w:val="auto"/>
          <w:lang w:eastAsia="en-US"/>
        </w:rPr>
      </w:pPr>
      <w:r w:rsidRPr="00962CAF">
        <w:rPr>
          <w:rFonts w:cs="Arial"/>
          <w:color w:val="auto"/>
          <w:lang w:eastAsia="en-US"/>
        </w:rPr>
        <w:t>Re-sell the 10 units after completion back into the market, subject</w:t>
      </w:r>
      <w:r>
        <w:rPr>
          <w:rFonts w:cs="Arial"/>
          <w:color w:val="auto"/>
          <w:lang w:eastAsia="en-US"/>
        </w:rPr>
        <w:t xml:space="preserve"> to any lease conditions/</w:t>
      </w:r>
      <w:r w:rsidRPr="00962CAF">
        <w:rPr>
          <w:rFonts w:cs="Arial"/>
          <w:color w:val="auto"/>
          <w:lang w:eastAsia="en-US"/>
        </w:rPr>
        <w:t>covenant</w:t>
      </w:r>
      <w:r>
        <w:rPr>
          <w:rFonts w:cs="Arial"/>
          <w:color w:val="auto"/>
          <w:lang w:eastAsia="en-US"/>
        </w:rPr>
        <w:t xml:space="preserve"> restrictions on such a proposal</w:t>
      </w:r>
      <w:r w:rsidRPr="00962CAF">
        <w:rPr>
          <w:rFonts w:cs="Arial"/>
          <w:color w:val="auto"/>
          <w:lang w:eastAsia="en-US"/>
        </w:rPr>
        <w:t xml:space="preserve">. This </w:t>
      </w:r>
      <w:r>
        <w:rPr>
          <w:rFonts w:cs="Arial"/>
          <w:color w:val="auto"/>
          <w:lang w:eastAsia="en-US"/>
        </w:rPr>
        <w:t>action put in danger the ability to fund the acquisitions using the retained RTB capital receipts.</w:t>
      </w:r>
      <w:r w:rsidRPr="00962CAF">
        <w:rPr>
          <w:rFonts w:cs="Arial"/>
          <w:color w:val="auto"/>
          <w:lang w:eastAsia="en-US"/>
        </w:rPr>
        <w:t xml:space="preserve"> </w:t>
      </w:r>
    </w:p>
    <w:p w:rsidR="00962CAF" w:rsidRPr="00962CAF" w:rsidRDefault="00962CAF" w:rsidP="00D04425">
      <w:pPr>
        <w:spacing w:after="0"/>
        <w:ind w:left="360"/>
        <w:rPr>
          <w:rFonts w:cs="Arial"/>
          <w:color w:val="auto"/>
          <w:lang w:eastAsia="en-US"/>
        </w:rPr>
      </w:pPr>
    </w:p>
    <w:p w:rsidR="00962CAF" w:rsidRPr="00962CAF" w:rsidRDefault="00962CAF" w:rsidP="00D04425">
      <w:pPr>
        <w:numPr>
          <w:ilvl w:val="0"/>
          <w:numId w:val="35"/>
        </w:numPr>
        <w:spacing w:after="0"/>
        <w:ind w:left="1080"/>
        <w:rPr>
          <w:rFonts w:cs="Arial"/>
          <w:color w:val="auto"/>
          <w:lang w:eastAsia="en-US"/>
        </w:rPr>
      </w:pPr>
      <w:r w:rsidRPr="00962CAF">
        <w:rPr>
          <w:rFonts w:cs="Arial"/>
          <w:color w:val="auto"/>
          <w:lang w:eastAsia="en-US"/>
        </w:rPr>
        <w:t>Retain the 10 units in the General Fund and use for a different purpose, such as letting to homeless famil</w:t>
      </w:r>
      <w:r w:rsidR="007F1E8A">
        <w:rPr>
          <w:rFonts w:cs="Arial"/>
          <w:color w:val="auto"/>
          <w:lang w:eastAsia="en-US"/>
        </w:rPr>
        <w:t>ies as PRS discharge properties.</w:t>
      </w:r>
      <w:r w:rsidR="007F1E8A" w:rsidRPr="00962CAF">
        <w:rPr>
          <w:rFonts w:cs="Arial"/>
          <w:color w:val="auto"/>
          <w:lang w:eastAsia="en-US"/>
        </w:rPr>
        <w:t xml:space="preserve"> This</w:t>
      </w:r>
      <w:r w:rsidR="007F1E8A">
        <w:rPr>
          <w:rFonts w:cs="Arial"/>
          <w:color w:val="auto"/>
          <w:lang w:eastAsia="en-US"/>
        </w:rPr>
        <w:t xml:space="preserve"> </w:t>
      </w:r>
      <w:r w:rsidRPr="00962CAF">
        <w:rPr>
          <w:rFonts w:cs="Arial"/>
          <w:color w:val="auto"/>
          <w:lang w:eastAsia="en-US"/>
        </w:rPr>
        <w:t xml:space="preserve">would be possible, but the Council would need to source and contract with a third party organisation to undertake the lettings and management, as the Council cannot enter into </w:t>
      </w:r>
      <w:r w:rsidR="00F26E71">
        <w:rPr>
          <w:rFonts w:cs="Arial"/>
          <w:color w:val="auto"/>
          <w:lang w:eastAsia="en-US"/>
        </w:rPr>
        <w:t>A</w:t>
      </w:r>
      <w:r w:rsidRPr="00962CAF">
        <w:rPr>
          <w:rFonts w:cs="Arial"/>
          <w:color w:val="auto"/>
          <w:lang w:eastAsia="en-US"/>
        </w:rPr>
        <w:t>ssured Short</w:t>
      </w:r>
      <w:r w:rsidR="00704ADB">
        <w:rPr>
          <w:rFonts w:cs="Arial"/>
          <w:color w:val="auto"/>
          <w:lang w:eastAsia="en-US"/>
        </w:rPr>
        <w:t>-</w:t>
      </w:r>
      <w:r w:rsidRPr="00962CAF">
        <w:rPr>
          <w:rFonts w:cs="Arial"/>
          <w:color w:val="auto"/>
          <w:lang w:eastAsia="en-US"/>
        </w:rPr>
        <w:t>hold Tenancies</w:t>
      </w:r>
      <w:r w:rsidR="00F26E71">
        <w:rPr>
          <w:rFonts w:cs="Arial"/>
          <w:color w:val="auto"/>
          <w:lang w:eastAsia="en-US"/>
        </w:rPr>
        <w:t xml:space="preserve"> itself. T</w:t>
      </w:r>
      <w:r w:rsidRPr="00962CAF">
        <w:rPr>
          <w:rFonts w:cs="Arial"/>
          <w:color w:val="auto"/>
          <w:lang w:eastAsia="en-US"/>
        </w:rPr>
        <w:t xml:space="preserve">his would also apply if the Council sought </w:t>
      </w:r>
      <w:r w:rsidR="00704ADB">
        <w:rPr>
          <w:rFonts w:cs="Arial"/>
          <w:color w:val="auto"/>
          <w:lang w:eastAsia="en-US"/>
        </w:rPr>
        <w:t>to rent the units as investment properties let at prevailing market rents.</w:t>
      </w:r>
    </w:p>
    <w:p w:rsidR="00962CAF" w:rsidRPr="00962CAF" w:rsidRDefault="00962CAF" w:rsidP="00D04425">
      <w:pPr>
        <w:spacing w:after="0"/>
        <w:ind w:left="1080"/>
        <w:rPr>
          <w:rFonts w:cs="Arial"/>
          <w:color w:val="auto"/>
          <w:lang w:eastAsia="en-US"/>
        </w:rPr>
      </w:pPr>
    </w:p>
    <w:p w:rsidR="00962CAF" w:rsidRPr="00962CAF" w:rsidRDefault="00962CAF" w:rsidP="00D04425">
      <w:pPr>
        <w:numPr>
          <w:ilvl w:val="0"/>
          <w:numId w:val="35"/>
        </w:numPr>
        <w:spacing w:after="0"/>
        <w:ind w:left="1080"/>
        <w:rPr>
          <w:rFonts w:cs="Arial"/>
          <w:color w:val="auto"/>
          <w:lang w:eastAsia="en-US"/>
        </w:rPr>
      </w:pPr>
      <w:r w:rsidRPr="00962CAF">
        <w:rPr>
          <w:rFonts w:cs="Arial"/>
          <w:color w:val="auto"/>
          <w:lang w:eastAsia="en-US"/>
        </w:rPr>
        <w:t xml:space="preserve">Sell the 10 units to the </w:t>
      </w:r>
      <w:r w:rsidR="00704ADB">
        <w:rPr>
          <w:rFonts w:cs="Arial"/>
          <w:color w:val="auto"/>
          <w:lang w:eastAsia="en-US"/>
        </w:rPr>
        <w:t xml:space="preserve">Council’s </w:t>
      </w:r>
      <w:r w:rsidRPr="00962CAF">
        <w:rPr>
          <w:rFonts w:cs="Arial"/>
          <w:color w:val="auto"/>
          <w:lang w:eastAsia="en-US"/>
        </w:rPr>
        <w:t>Housing Company</w:t>
      </w:r>
      <w:r w:rsidR="007F1E8A">
        <w:rPr>
          <w:rFonts w:cs="Arial"/>
          <w:color w:val="auto"/>
          <w:lang w:eastAsia="en-US"/>
        </w:rPr>
        <w:t>.</w:t>
      </w:r>
      <w:r w:rsidR="00F26E71">
        <w:rPr>
          <w:rFonts w:cs="Arial"/>
          <w:color w:val="auto"/>
          <w:lang w:eastAsia="en-US"/>
        </w:rPr>
        <w:t xml:space="preserve"> </w:t>
      </w:r>
      <w:r w:rsidR="00704ADB" w:rsidRPr="00962CAF">
        <w:rPr>
          <w:rFonts w:cs="Arial"/>
          <w:color w:val="auto"/>
          <w:lang w:eastAsia="en-US"/>
        </w:rPr>
        <w:t>This</w:t>
      </w:r>
      <w:r w:rsidRPr="00962CAF">
        <w:rPr>
          <w:rFonts w:cs="Arial"/>
          <w:color w:val="auto"/>
          <w:lang w:eastAsia="en-US"/>
        </w:rPr>
        <w:t xml:space="preserve"> would require additional loan financing and create a stock-holding for the company ahead of the full adoption of policies and procedures for housing management</w:t>
      </w:r>
      <w:r w:rsidR="00704ADB">
        <w:rPr>
          <w:rFonts w:cs="Arial"/>
          <w:color w:val="auto"/>
          <w:lang w:eastAsia="en-US"/>
        </w:rPr>
        <w:t>. It could also put at risk the proposed development plan if funding sources were being prioritised for un-scheduled schemes such as these</w:t>
      </w:r>
      <w:r w:rsidR="00F26E71">
        <w:rPr>
          <w:rFonts w:cs="Arial"/>
          <w:color w:val="auto"/>
          <w:lang w:eastAsia="en-US"/>
        </w:rPr>
        <w:t>.</w:t>
      </w:r>
    </w:p>
    <w:p w:rsidR="00962CAF" w:rsidRPr="00962CAF" w:rsidRDefault="00962CAF" w:rsidP="00D04425">
      <w:pPr>
        <w:spacing w:after="0"/>
        <w:ind w:left="1080"/>
        <w:rPr>
          <w:rFonts w:cs="Arial"/>
          <w:color w:val="auto"/>
          <w:lang w:eastAsia="en-US"/>
        </w:rPr>
      </w:pPr>
    </w:p>
    <w:p w:rsidR="00962CAF" w:rsidRPr="00962CAF" w:rsidRDefault="00704ADB" w:rsidP="00D04425">
      <w:pPr>
        <w:numPr>
          <w:ilvl w:val="0"/>
          <w:numId w:val="35"/>
        </w:numPr>
        <w:spacing w:after="0"/>
        <w:ind w:left="1080"/>
        <w:rPr>
          <w:rFonts w:cs="Arial"/>
          <w:color w:val="auto"/>
          <w:lang w:eastAsia="en-US"/>
        </w:rPr>
      </w:pPr>
      <w:r>
        <w:rPr>
          <w:rFonts w:cs="Arial"/>
          <w:color w:val="auto"/>
          <w:lang w:eastAsia="en-US"/>
        </w:rPr>
        <w:t xml:space="preserve">Approve the acquisition of the </w:t>
      </w:r>
      <w:r w:rsidR="00962CAF" w:rsidRPr="00962CAF">
        <w:rPr>
          <w:rFonts w:cs="Arial"/>
          <w:color w:val="auto"/>
          <w:lang w:eastAsia="en-US"/>
        </w:rPr>
        <w:t xml:space="preserve">10 units </w:t>
      </w:r>
      <w:r>
        <w:rPr>
          <w:rFonts w:cs="Arial"/>
          <w:color w:val="auto"/>
          <w:lang w:eastAsia="en-US"/>
        </w:rPr>
        <w:t xml:space="preserve">for the Council’s </w:t>
      </w:r>
      <w:r w:rsidR="00962CAF" w:rsidRPr="00962CAF">
        <w:rPr>
          <w:rFonts w:cs="Arial"/>
          <w:color w:val="auto"/>
          <w:lang w:eastAsia="en-US"/>
        </w:rPr>
        <w:t>HRA</w:t>
      </w:r>
      <w:r w:rsidR="00F26E71">
        <w:rPr>
          <w:rFonts w:cs="Arial"/>
          <w:color w:val="auto"/>
          <w:lang w:eastAsia="en-US"/>
        </w:rPr>
        <w:t>. T</w:t>
      </w:r>
      <w:r>
        <w:rPr>
          <w:rFonts w:cs="Arial"/>
          <w:color w:val="auto"/>
          <w:lang w:eastAsia="en-US"/>
        </w:rPr>
        <w:t xml:space="preserve">he flats would be let to </w:t>
      </w:r>
      <w:r w:rsidR="00962CAF" w:rsidRPr="00962CAF">
        <w:rPr>
          <w:rFonts w:cs="Arial"/>
          <w:color w:val="auto"/>
          <w:lang w:eastAsia="en-US"/>
        </w:rPr>
        <w:t>households in need at social rent under secure tenancies</w:t>
      </w:r>
      <w:r w:rsidR="0050195B">
        <w:rPr>
          <w:rFonts w:cs="Arial"/>
          <w:color w:val="auto"/>
          <w:lang w:eastAsia="en-US"/>
        </w:rPr>
        <w:t>.</w:t>
      </w:r>
      <w:r w:rsidR="00F26E71">
        <w:rPr>
          <w:rFonts w:cs="Arial"/>
          <w:color w:val="auto"/>
          <w:lang w:eastAsia="en-US"/>
        </w:rPr>
        <w:t xml:space="preserve"> An added advantage is that this would balance out the stock transfer of 5 properties in 16/17 and 17/18 from the HRA to the Council’s housing company. This option is considered</w:t>
      </w:r>
      <w:r w:rsidR="00962CAF" w:rsidRPr="00962CAF">
        <w:rPr>
          <w:rFonts w:cs="Arial"/>
          <w:color w:val="auto"/>
          <w:lang w:eastAsia="en-US"/>
        </w:rPr>
        <w:t xml:space="preserve"> </w:t>
      </w:r>
      <w:r>
        <w:rPr>
          <w:rFonts w:cs="Arial"/>
          <w:color w:val="auto"/>
          <w:lang w:eastAsia="en-US"/>
        </w:rPr>
        <w:t>to be the most a</w:t>
      </w:r>
      <w:r w:rsidR="0083570F">
        <w:rPr>
          <w:rFonts w:cs="Arial"/>
          <w:color w:val="auto"/>
          <w:lang w:eastAsia="en-US"/>
        </w:rPr>
        <w:t>dvantageous</w:t>
      </w:r>
      <w:r>
        <w:rPr>
          <w:rFonts w:cs="Arial"/>
          <w:color w:val="auto"/>
          <w:lang w:eastAsia="en-US"/>
        </w:rPr>
        <w:t xml:space="preserve"> and suitable option for recommendation.</w:t>
      </w:r>
    </w:p>
    <w:p w:rsidR="00D04425" w:rsidRDefault="00D04425" w:rsidP="004A6D2F">
      <w:pPr>
        <w:pStyle w:val="Heading1"/>
      </w:pPr>
    </w:p>
    <w:p w:rsidR="00D04425" w:rsidRDefault="00D04425" w:rsidP="004A6D2F">
      <w:pPr>
        <w:pStyle w:val="Heading1"/>
      </w:pPr>
    </w:p>
    <w:p w:rsidR="00D04425" w:rsidRDefault="00D04425" w:rsidP="004A6D2F">
      <w:pPr>
        <w:pStyle w:val="Heading1"/>
      </w:pPr>
    </w:p>
    <w:p w:rsidR="00D04425" w:rsidRDefault="00D04425" w:rsidP="004A6D2F">
      <w:pPr>
        <w:pStyle w:val="Heading1"/>
      </w:pPr>
    </w:p>
    <w:p w:rsidR="00D04425" w:rsidRDefault="00D04425" w:rsidP="004A6D2F">
      <w:pPr>
        <w:pStyle w:val="Heading1"/>
      </w:pPr>
    </w:p>
    <w:p w:rsidR="0040736F" w:rsidRPr="001356F1" w:rsidRDefault="002329CF" w:rsidP="004A6D2F">
      <w:pPr>
        <w:pStyle w:val="Heading1"/>
      </w:pPr>
      <w:r w:rsidRPr="001356F1">
        <w:lastRenderedPageBreak/>
        <w:t>Financial implications</w:t>
      </w:r>
    </w:p>
    <w:p w:rsidR="00402920" w:rsidRDefault="00402920" w:rsidP="00B451DD">
      <w:pPr>
        <w:pStyle w:val="ListParagraph"/>
        <w:numPr>
          <w:ilvl w:val="0"/>
          <w:numId w:val="34"/>
        </w:numPr>
      </w:pPr>
      <w:r>
        <w:t>The cost of purchasing the 2 blocks in Great Western Park Didcot is show in the table below.</w:t>
      </w:r>
    </w:p>
    <w:p w:rsidR="00402920" w:rsidRDefault="00402920" w:rsidP="00402920">
      <w:pPr>
        <w:pStyle w:val="ListParagraph"/>
        <w:numPr>
          <w:ilvl w:val="0"/>
          <w:numId w:val="0"/>
        </w:numPr>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03"/>
        <w:gridCol w:w="2269"/>
        <w:gridCol w:w="2269"/>
      </w:tblGrid>
      <w:tr w:rsidR="00402920" w:rsidTr="003A4F49">
        <w:tc>
          <w:tcPr>
            <w:tcW w:w="2313" w:type="dxa"/>
            <w:shd w:val="clear" w:color="auto" w:fill="auto"/>
          </w:tcPr>
          <w:p w:rsidR="00402920" w:rsidRDefault="00402920" w:rsidP="003A4F49">
            <w:pPr>
              <w:pStyle w:val="ListParagraph"/>
              <w:numPr>
                <w:ilvl w:val="0"/>
                <w:numId w:val="0"/>
              </w:numPr>
            </w:pPr>
            <w:r>
              <w:t>Great Western Flats</w:t>
            </w:r>
          </w:p>
        </w:tc>
        <w:tc>
          <w:tcPr>
            <w:tcW w:w="2303" w:type="dxa"/>
            <w:shd w:val="clear" w:color="auto" w:fill="auto"/>
          </w:tcPr>
          <w:p w:rsidR="00402920" w:rsidRDefault="00402920" w:rsidP="003A4F49">
            <w:pPr>
              <w:pStyle w:val="ListParagraph"/>
              <w:numPr>
                <w:ilvl w:val="0"/>
                <w:numId w:val="0"/>
              </w:numPr>
            </w:pPr>
            <w:r>
              <w:t>Agreed Price</w:t>
            </w:r>
          </w:p>
        </w:tc>
        <w:tc>
          <w:tcPr>
            <w:tcW w:w="2269" w:type="dxa"/>
            <w:shd w:val="clear" w:color="auto" w:fill="auto"/>
          </w:tcPr>
          <w:p w:rsidR="00402920" w:rsidRDefault="00402920" w:rsidP="003A4F49">
            <w:pPr>
              <w:pStyle w:val="ListParagraph"/>
              <w:numPr>
                <w:ilvl w:val="0"/>
                <w:numId w:val="0"/>
              </w:numPr>
            </w:pPr>
            <w:r>
              <w:t>Stamp Duty</w:t>
            </w:r>
            <w:r w:rsidR="00101BCE">
              <w:t xml:space="preserve"> and Land Tax</w:t>
            </w:r>
          </w:p>
        </w:tc>
        <w:tc>
          <w:tcPr>
            <w:tcW w:w="2269" w:type="dxa"/>
            <w:shd w:val="clear" w:color="auto" w:fill="auto"/>
          </w:tcPr>
          <w:p w:rsidR="00402920" w:rsidRDefault="00402920" w:rsidP="003A4F49">
            <w:pPr>
              <w:pStyle w:val="ListParagraph"/>
              <w:numPr>
                <w:ilvl w:val="0"/>
                <w:numId w:val="0"/>
              </w:numPr>
            </w:pPr>
            <w:r>
              <w:t>Total Spend</w:t>
            </w:r>
          </w:p>
        </w:tc>
      </w:tr>
      <w:tr w:rsidR="00402920" w:rsidTr="003A4F49">
        <w:tc>
          <w:tcPr>
            <w:tcW w:w="2313" w:type="dxa"/>
            <w:shd w:val="clear" w:color="auto" w:fill="auto"/>
          </w:tcPr>
          <w:p w:rsidR="00402920" w:rsidRDefault="00402920" w:rsidP="003A4F49">
            <w:pPr>
              <w:pStyle w:val="ListParagraph"/>
              <w:numPr>
                <w:ilvl w:val="0"/>
                <w:numId w:val="0"/>
              </w:numPr>
            </w:pPr>
            <w:r>
              <w:t>Block 1</w:t>
            </w:r>
          </w:p>
        </w:tc>
        <w:tc>
          <w:tcPr>
            <w:tcW w:w="2303" w:type="dxa"/>
            <w:shd w:val="clear" w:color="auto" w:fill="auto"/>
          </w:tcPr>
          <w:p w:rsidR="00402920" w:rsidRDefault="00402920" w:rsidP="003A4F49">
            <w:pPr>
              <w:pStyle w:val="ListParagraph"/>
              <w:numPr>
                <w:ilvl w:val="0"/>
                <w:numId w:val="0"/>
              </w:numPr>
            </w:pPr>
            <w:r>
              <w:t>£2</w:t>
            </w:r>
            <w:r w:rsidR="00704ADB">
              <w:t>,</w:t>
            </w:r>
            <w:r>
              <w:t>273</w:t>
            </w:r>
            <w:r w:rsidR="00704ADB">
              <w:t>,</w:t>
            </w:r>
            <w:r>
              <w:t>000</w:t>
            </w:r>
          </w:p>
        </w:tc>
        <w:tc>
          <w:tcPr>
            <w:tcW w:w="2269" w:type="dxa"/>
            <w:shd w:val="clear" w:color="auto" w:fill="auto"/>
          </w:tcPr>
          <w:p w:rsidR="00402920" w:rsidRDefault="00402920" w:rsidP="003A4F49">
            <w:pPr>
              <w:pStyle w:val="ListParagraph"/>
              <w:numPr>
                <w:ilvl w:val="0"/>
                <w:numId w:val="0"/>
              </w:numPr>
            </w:pPr>
            <w:r>
              <w:t>£88</w:t>
            </w:r>
            <w:r w:rsidR="00704ADB">
              <w:t>,</w:t>
            </w:r>
            <w:r>
              <w:t>500</w:t>
            </w:r>
          </w:p>
        </w:tc>
        <w:tc>
          <w:tcPr>
            <w:tcW w:w="2269" w:type="dxa"/>
            <w:shd w:val="clear" w:color="auto" w:fill="auto"/>
          </w:tcPr>
          <w:p w:rsidR="00402920" w:rsidRDefault="00402920" w:rsidP="003A4F49">
            <w:pPr>
              <w:pStyle w:val="ListParagraph"/>
              <w:numPr>
                <w:ilvl w:val="0"/>
                <w:numId w:val="0"/>
              </w:numPr>
            </w:pPr>
            <w:r>
              <w:t>£2</w:t>
            </w:r>
            <w:r w:rsidR="00704ADB">
              <w:t>,</w:t>
            </w:r>
            <w:r>
              <w:t>361</w:t>
            </w:r>
            <w:r w:rsidR="00704ADB">
              <w:t>,</w:t>
            </w:r>
            <w:r>
              <w:t>500</w:t>
            </w:r>
          </w:p>
        </w:tc>
      </w:tr>
      <w:tr w:rsidR="00402920" w:rsidTr="003A4F49">
        <w:tc>
          <w:tcPr>
            <w:tcW w:w="2313" w:type="dxa"/>
            <w:shd w:val="clear" w:color="auto" w:fill="auto"/>
          </w:tcPr>
          <w:p w:rsidR="00402920" w:rsidRDefault="00402920" w:rsidP="003A4F49">
            <w:pPr>
              <w:pStyle w:val="ListParagraph"/>
              <w:numPr>
                <w:ilvl w:val="0"/>
                <w:numId w:val="0"/>
              </w:numPr>
            </w:pPr>
            <w:r>
              <w:t>Block 2</w:t>
            </w:r>
          </w:p>
        </w:tc>
        <w:tc>
          <w:tcPr>
            <w:tcW w:w="2303" w:type="dxa"/>
            <w:shd w:val="clear" w:color="auto" w:fill="auto"/>
          </w:tcPr>
          <w:p w:rsidR="00402920" w:rsidRDefault="00402920" w:rsidP="003A4F49">
            <w:pPr>
              <w:pStyle w:val="ListParagraph"/>
              <w:numPr>
                <w:ilvl w:val="0"/>
                <w:numId w:val="0"/>
              </w:numPr>
            </w:pPr>
            <w:r>
              <w:t>£2</w:t>
            </w:r>
            <w:r w:rsidR="00704ADB">
              <w:t>,</w:t>
            </w:r>
            <w:r>
              <w:t>273</w:t>
            </w:r>
            <w:r w:rsidR="00704ADB">
              <w:t>,</w:t>
            </w:r>
            <w:r>
              <w:t>000</w:t>
            </w:r>
          </w:p>
        </w:tc>
        <w:tc>
          <w:tcPr>
            <w:tcW w:w="2269" w:type="dxa"/>
            <w:shd w:val="clear" w:color="auto" w:fill="auto"/>
          </w:tcPr>
          <w:p w:rsidR="00402920" w:rsidRDefault="00402920" w:rsidP="003A4F49">
            <w:pPr>
              <w:pStyle w:val="ListParagraph"/>
              <w:numPr>
                <w:ilvl w:val="0"/>
                <w:numId w:val="0"/>
              </w:numPr>
            </w:pPr>
            <w:r>
              <w:t>£88</w:t>
            </w:r>
            <w:r w:rsidR="00704ADB">
              <w:t>,</w:t>
            </w:r>
            <w:r>
              <w:t>500</w:t>
            </w:r>
          </w:p>
        </w:tc>
        <w:tc>
          <w:tcPr>
            <w:tcW w:w="2269" w:type="dxa"/>
            <w:shd w:val="clear" w:color="auto" w:fill="auto"/>
          </w:tcPr>
          <w:p w:rsidR="00402920" w:rsidRDefault="00402920" w:rsidP="003A4F49">
            <w:pPr>
              <w:pStyle w:val="ListParagraph"/>
              <w:numPr>
                <w:ilvl w:val="0"/>
                <w:numId w:val="0"/>
              </w:numPr>
            </w:pPr>
            <w:r>
              <w:t>£2</w:t>
            </w:r>
            <w:r w:rsidR="00704ADB">
              <w:t>,</w:t>
            </w:r>
            <w:r>
              <w:t>361</w:t>
            </w:r>
            <w:r w:rsidR="00704ADB">
              <w:t>,</w:t>
            </w:r>
            <w:r>
              <w:t>500</w:t>
            </w:r>
          </w:p>
        </w:tc>
      </w:tr>
      <w:tr w:rsidR="00402920" w:rsidTr="003A4F49">
        <w:tc>
          <w:tcPr>
            <w:tcW w:w="2313" w:type="dxa"/>
            <w:shd w:val="clear" w:color="auto" w:fill="auto"/>
          </w:tcPr>
          <w:p w:rsidR="00402920" w:rsidRDefault="00402920" w:rsidP="003A4F49">
            <w:pPr>
              <w:pStyle w:val="ListParagraph"/>
              <w:numPr>
                <w:ilvl w:val="0"/>
                <w:numId w:val="0"/>
              </w:numPr>
            </w:pPr>
            <w:r>
              <w:t>Total</w:t>
            </w:r>
          </w:p>
        </w:tc>
        <w:tc>
          <w:tcPr>
            <w:tcW w:w="2303" w:type="dxa"/>
            <w:shd w:val="clear" w:color="auto" w:fill="auto"/>
          </w:tcPr>
          <w:p w:rsidR="00402920" w:rsidRDefault="00402920" w:rsidP="003A4F49">
            <w:pPr>
              <w:pStyle w:val="ListParagraph"/>
              <w:numPr>
                <w:ilvl w:val="0"/>
                <w:numId w:val="0"/>
              </w:numPr>
            </w:pPr>
            <w:r>
              <w:t>£4</w:t>
            </w:r>
            <w:r w:rsidR="00704ADB">
              <w:t>,</w:t>
            </w:r>
            <w:r>
              <w:t>546</w:t>
            </w:r>
            <w:r w:rsidR="00704ADB">
              <w:t>,</w:t>
            </w:r>
            <w:r>
              <w:t>000</w:t>
            </w:r>
          </w:p>
        </w:tc>
        <w:tc>
          <w:tcPr>
            <w:tcW w:w="2269" w:type="dxa"/>
            <w:shd w:val="clear" w:color="auto" w:fill="auto"/>
          </w:tcPr>
          <w:p w:rsidR="00402920" w:rsidRDefault="00402920" w:rsidP="003A4F49">
            <w:pPr>
              <w:pStyle w:val="ListParagraph"/>
              <w:numPr>
                <w:ilvl w:val="0"/>
                <w:numId w:val="0"/>
              </w:numPr>
            </w:pPr>
            <w:r>
              <w:t>£177</w:t>
            </w:r>
            <w:r w:rsidR="00704ADB">
              <w:t>,</w:t>
            </w:r>
            <w:r>
              <w:t>000</w:t>
            </w:r>
          </w:p>
        </w:tc>
        <w:tc>
          <w:tcPr>
            <w:tcW w:w="2269" w:type="dxa"/>
            <w:shd w:val="clear" w:color="auto" w:fill="auto"/>
          </w:tcPr>
          <w:p w:rsidR="00402920" w:rsidRDefault="00402920" w:rsidP="003A4F49">
            <w:pPr>
              <w:pStyle w:val="ListParagraph"/>
              <w:numPr>
                <w:ilvl w:val="0"/>
                <w:numId w:val="0"/>
              </w:numPr>
            </w:pPr>
            <w:r>
              <w:t>£4</w:t>
            </w:r>
            <w:r w:rsidR="00704ADB">
              <w:t>,</w:t>
            </w:r>
            <w:r>
              <w:t>723</w:t>
            </w:r>
            <w:r w:rsidR="00704ADB">
              <w:t>,</w:t>
            </w:r>
            <w:r>
              <w:t>000</w:t>
            </w:r>
          </w:p>
        </w:tc>
      </w:tr>
    </w:tbl>
    <w:p w:rsidR="00402920" w:rsidRDefault="00402920" w:rsidP="00402920">
      <w:pPr>
        <w:pStyle w:val="ListParagraph"/>
        <w:numPr>
          <w:ilvl w:val="0"/>
          <w:numId w:val="0"/>
        </w:numPr>
        <w:ind w:left="360" w:hanging="360"/>
      </w:pPr>
    </w:p>
    <w:p w:rsidR="004E6136" w:rsidRDefault="004E6136" w:rsidP="00B451DD">
      <w:pPr>
        <w:pStyle w:val="ListParagraph"/>
        <w:numPr>
          <w:ilvl w:val="0"/>
          <w:numId w:val="34"/>
        </w:numPr>
      </w:pPr>
      <w:r>
        <w:t xml:space="preserve">Transfer of assets between the General Fund and the HRA need to follow agreed guidelines and </w:t>
      </w:r>
      <w:r w:rsidR="00C97727">
        <w:t xml:space="preserve">are reflected in movements to each accounts Capital Financing Requirement (CFR). Both the GF and the HRA’s level of indebtedness are measured by the value of </w:t>
      </w:r>
      <w:r w:rsidR="00BD7D1A">
        <w:t>their respective</w:t>
      </w:r>
      <w:r w:rsidR="00C97727">
        <w:t xml:space="preserve"> CFR</w:t>
      </w:r>
      <w:r w:rsidR="00BD7D1A">
        <w:t>’s</w:t>
      </w:r>
      <w:r w:rsidR="00C97727">
        <w:t xml:space="preserve">. </w:t>
      </w:r>
      <w:r>
        <w:t xml:space="preserve"> </w:t>
      </w:r>
      <w:r w:rsidR="00C97727">
        <w:t>When transfer of assets is possible it is simply undertaken by reciprocal movements on each accounts CFR by the value of the assets transferred. In this instance the initial cost of acquisition of £2,361,500 is a good indicator of the value and as such it is expected the HRA’s CFR will increase by this value with the GF’s CFR decreasing by the same value. Thus, given the assets have no</w:t>
      </w:r>
      <w:r w:rsidR="00BD7D1A">
        <w:t>t left the authority the</w:t>
      </w:r>
      <w:r w:rsidR="00C97727">
        <w:t xml:space="preserve"> movement in the Council’s </w:t>
      </w:r>
      <w:r w:rsidR="00BD7D1A">
        <w:t xml:space="preserve">overall </w:t>
      </w:r>
      <w:r w:rsidR="00C97727">
        <w:t>CFR remains unchanged, as you would expect.</w:t>
      </w:r>
    </w:p>
    <w:p w:rsidR="00C97727" w:rsidRDefault="00BD7D1A" w:rsidP="0083570F">
      <w:pPr>
        <w:pStyle w:val="ListParagraph"/>
        <w:numPr>
          <w:ilvl w:val="0"/>
          <w:numId w:val="34"/>
        </w:numPr>
      </w:pPr>
      <w:r>
        <w:t xml:space="preserve">The HRA currently has a debt cap of £241m with available headroom borrowing of £42m.This is mainly as a response to various factors impacting on the HRA committing its resources to large capital schemes namely, 4 years of -1% annual rent reductions, </w:t>
      </w:r>
      <w:r w:rsidR="0083570F">
        <w:t>h</w:t>
      </w:r>
      <w:r>
        <w:t xml:space="preserve">igh </w:t>
      </w:r>
      <w:r w:rsidR="0083570F">
        <w:t>v</w:t>
      </w:r>
      <w:r>
        <w:t>alue</w:t>
      </w:r>
      <w:r w:rsidR="0083570F">
        <w:t xml:space="preserve"> void</w:t>
      </w:r>
      <w:r>
        <w:t xml:space="preserve"> levy payments</w:t>
      </w:r>
      <w:r w:rsidR="0083570F">
        <w:t xml:space="preserve"> that are</w:t>
      </w:r>
      <w:r>
        <w:t xml:space="preserve"> still to be determined and </w:t>
      </w:r>
      <w:r w:rsidR="0083570F">
        <w:t>t</w:t>
      </w:r>
      <w:r>
        <w:t xml:space="preserve">ower </w:t>
      </w:r>
      <w:r w:rsidR="0083570F">
        <w:t>b</w:t>
      </w:r>
      <w:r>
        <w:t>lock additional expenditure to replace external cladding. That said the introduction of using just over £2</w:t>
      </w:r>
      <w:r w:rsidR="009106B0">
        <w:t>.3</w:t>
      </w:r>
      <w:r>
        <w:t>m of headroom borrowing to acquire rent generating dwellings is something that could be accommodated within the existing HRA B</w:t>
      </w:r>
      <w:r w:rsidR="0083570F">
        <w:t>usiness plan.</w:t>
      </w:r>
    </w:p>
    <w:p w:rsidR="00101BCE" w:rsidRDefault="00314B95" w:rsidP="0083570F">
      <w:pPr>
        <w:pStyle w:val="ListParagraph"/>
        <w:numPr>
          <w:ilvl w:val="0"/>
          <w:numId w:val="34"/>
        </w:numPr>
        <w:spacing w:after="0"/>
      </w:pPr>
      <w:r>
        <w:t xml:space="preserve">The flats have been purchased </w:t>
      </w:r>
      <w:r w:rsidR="00101BCE">
        <w:t>on a 150</w:t>
      </w:r>
      <w:r>
        <w:t xml:space="preserve"> year lease</w:t>
      </w:r>
      <w:r w:rsidR="00101BCE">
        <w:t xml:space="preserve">.  The ground rent for each </w:t>
      </w:r>
    </w:p>
    <w:p w:rsidR="00101BCE" w:rsidRDefault="002A4557" w:rsidP="0083570F">
      <w:pPr>
        <w:pStyle w:val="ListParagraph"/>
        <w:numPr>
          <w:ilvl w:val="0"/>
          <w:numId w:val="0"/>
        </w:numPr>
        <w:spacing w:after="0"/>
        <w:ind w:left="714" w:hanging="357"/>
      </w:pPr>
      <w:proofErr w:type="gramStart"/>
      <w:r>
        <w:t>block</w:t>
      </w:r>
      <w:proofErr w:type="gramEnd"/>
      <w:r>
        <w:t xml:space="preserve"> will be £2</w:t>
      </w:r>
      <w:r w:rsidR="004E6136">
        <w:t>,</w:t>
      </w:r>
      <w:r>
        <w:t xml:space="preserve">500 per annum (equivalent to £250 </w:t>
      </w:r>
      <w:r w:rsidR="004E6136">
        <w:t>per</w:t>
      </w:r>
      <w:r>
        <w:t xml:space="preserve"> flat per annum)</w:t>
      </w:r>
      <w:r w:rsidR="0083570F">
        <w:t xml:space="preserve"> This has been fixed for the lease duration as part of the negotiation.</w:t>
      </w:r>
      <w:r>
        <w:t xml:space="preserve">.  </w:t>
      </w:r>
      <w:r w:rsidR="005653D2">
        <w:t xml:space="preserve"> </w:t>
      </w:r>
    </w:p>
    <w:p w:rsidR="00101BCE" w:rsidRDefault="00101BCE" w:rsidP="00101BCE">
      <w:pPr>
        <w:pStyle w:val="ListParagraph"/>
        <w:numPr>
          <w:ilvl w:val="0"/>
          <w:numId w:val="0"/>
        </w:numPr>
        <w:spacing w:after="0"/>
        <w:ind w:left="360" w:hanging="360"/>
      </w:pPr>
    </w:p>
    <w:p w:rsidR="005653D2" w:rsidRDefault="005653D2" w:rsidP="00B451DD">
      <w:pPr>
        <w:pStyle w:val="ListParagraph"/>
        <w:numPr>
          <w:ilvl w:val="0"/>
          <w:numId w:val="34"/>
        </w:numPr>
        <w:spacing w:after="0"/>
      </w:pPr>
      <w:r>
        <w:t xml:space="preserve">The management fee and service charge quoted by </w:t>
      </w:r>
      <w:r w:rsidR="00BF6871">
        <w:t xml:space="preserve">the </w:t>
      </w:r>
      <w:r>
        <w:t>management agent is</w:t>
      </w:r>
    </w:p>
    <w:p w:rsidR="005653D2" w:rsidRDefault="005653D2" w:rsidP="005653D2">
      <w:pPr>
        <w:pStyle w:val="ListParagraph"/>
        <w:numPr>
          <w:ilvl w:val="0"/>
          <w:numId w:val="0"/>
        </w:numPr>
        <w:spacing w:after="0"/>
        <w:ind w:left="714" w:hanging="357"/>
      </w:pPr>
      <w:proofErr w:type="gramStart"/>
      <w:r>
        <w:t>estimated</w:t>
      </w:r>
      <w:proofErr w:type="gramEnd"/>
      <w:r>
        <w:t xml:space="preserve"> to be </w:t>
      </w:r>
      <w:r w:rsidR="00086521">
        <w:t>£</w:t>
      </w:r>
      <w:r w:rsidR="00E73583">
        <w:t xml:space="preserve">487 </w:t>
      </w:r>
      <w:r w:rsidR="001122A0">
        <w:t xml:space="preserve">per </w:t>
      </w:r>
      <w:r w:rsidR="00086521">
        <w:t>flat per annum</w:t>
      </w:r>
      <w:r>
        <w:t>.  There will also be additional charges as</w:t>
      </w:r>
    </w:p>
    <w:p w:rsidR="005653D2" w:rsidRDefault="005653D2" w:rsidP="005653D2">
      <w:pPr>
        <w:pStyle w:val="ListParagraph"/>
        <w:numPr>
          <w:ilvl w:val="0"/>
          <w:numId w:val="0"/>
        </w:numPr>
        <w:spacing w:after="0"/>
        <w:ind w:left="714" w:hanging="357"/>
      </w:pPr>
      <w:proofErr w:type="gramStart"/>
      <w:r>
        <w:t>with</w:t>
      </w:r>
      <w:proofErr w:type="gramEnd"/>
      <w:r>
        <w:t xml:space="preserve"> any other block of flats owned by the </w:t>
      </w:r>
      <w:r w:rsidR="00BF6871">
        <w:t>Council for communal facilities.</w:t>
      </w:r>
      <w:r>
        <w:t xml:space="preserve">  </w:t>
      </w:r>
    </w:p>
    <w:p w:rsidR="00101BCE" w:rsidRDefault="00101BCE" w:rsidP="00314B95">
      <w:pPr>
        <w:pStyle w:val="ListParagraph"/>
        <w:numPr>
          <w:ilvl w:val="0"/>
          <w:numId w:val="0"/>
        </w:numPr>
        <w:spacing w:after="0"/>
        <w:ind w:left="714" w:hanging="357"/>
      </w:pPr>
      <w:r>
        <w:t xml:space="preserve"> </w:t>
      </w:r>
    </w:p>
    <w:p w:rsidR="0040736F" w:rsidRPr="001356F1" w:rsidRDefault="00DA614B" w:rsidP="004A6D2F">
      <w:pPr>
        <w:pStyle w:val="Heading1"/>
      </w:pPr>
      <w:r w:rsidRPr="001356F1">
        <w:t>Legal issues</w:t>
      </w:r>
    </w:p>
    <w:p w:rsidR="004B17C1" w:rsidRDefault="00E70640" w:rsidP="00B451DD">
      <w:pPr>
        <w:pStyle w:val="ListParagraph"/>
        <w:numPr>
          <w:ilvl w:val="0"/>
          <w:numId w:val="34"/>
        </w:numPr>
      </w:pPr>
      <w:r>
        <w:t>The proposals</w:t>
      </w:r>
      <w:r w:rsidR="00D72DDC">
        <w:t xml:space="preserve"> requested </w:t>
      </w:r>
      <w:r w:rsidR="00833B10">
        <w:t xml:space="preserve">follow on from the two earlier reports submitted and approved by the CEB on 15/12/16 and </w:t>
      </w:r>
      <w:r w:rsidR="009106B0">
        <w:t>0</w:t>
      </w:r>
      <w:r w:rsidR="00833B10">
        <w:t>9/</w:t>
      </w:r>
      <w:r w:rsidR="009106B0">
        <w:t>0</w:t>
      </w:r>
      <w:r w:rsidR="00833B10">
        <w:t>3/17</w:t>
      </w:r>
      <w:r w:rsidR="00D72DDC">
        <w:t xml:space="preserve"> and referred to earlier</w:t>
      </w:r>
      <w:r w:rsidR="00833B10">
        <w:t xml:space="preserve">. </w:t>
      </w:r>
      <w:r w:rsidR="00670638">
        <w:t>I</w:t>
      </w:r>
      <w:r w:rsidR="00951194">
        <w:t xml:space="preserve">t was proposed that </w:t>
      </w:r>
      <w:r w:rsidR="004B17C1">
        <w:t>conveyancing for the new properties would be undertaken by using existing resource provision with</w:t>
      </w:r>
      <w:r w:rsidR="00833B10">
        <w:t>in</w:t>
      </w:r>
      <w:r w:rsidR="004B17C1">
        <w:t xml:space="preserve"> the Council</w:t>
      </w:r>
      <w:r w:rsidR="00951194">
        <w:t xml:space="preserve"> and this </w:t>
      </w:r>
      <w:r w:rsidR="00D72DDC">
        <w:t xml:space="preserve">process has been followed with </w:t>
      </w:r>
      <w:r w:rsidR="00670638">
        <w:t xml:space="preserve">all of </w:t>
      </w:r>
      <w:r w:rsidR="00D72DDC">
        <w:t xml:space="preserve">purchases with the </w:t>
      </w:r>
      <w:r w:rsidR="00670638">
        <w:t>exception of</w:t>
      </w:r>
      <w:r w:rsidR="00D72DDC">
        <w:t xml:space="preserve"> the two blocks at </w:t>
      </w:r>
      <w:r w:rsidR="00670638">
        <w:t>Great Western Park</w:t>
      </w:r>
      <w:r w:rsidR="00D72DDC">
        <w:t>, Didcot</w:t>
      </w:r>
      <w:r w:rsidR="00670638">
        <w:t xml:space="preserve">.  The conveyancing </w:t>
      </w:r>
      <w:r w:rsidR="00D72DDC">
        <w:t>at</w:t>
      </w:r>
      <w:r w:rsidR="00670638">
        <w:t xml:space="preserve"> Great Western Park took</w:t>
      </w:r>
      <w:r w:rsidR="00C676C8">
        <w:t xml:space="preserve"> place via an external firm</w:t>
      </w:r>
      <w:r w:rsidR="004B17C1">
        <w:t>, Knights, due to the need for specialist legal knowled</w:t>
      </w:r>
      <w:r w:rsidR="00951194">
        <w:t xml:space="preserve">ge and advice regarding the construction </w:t>
      </w:r>
      <w:r w:rsidR="004B17C1">
        <w:t>documents involv</w:t>
      </w:r>
      <w:r w:rsidR="00951194">
        <w:t>ed.  The properties have been bought off plan</w:t>
      </w:r>
      <w:r w:rsidR="00670638">
        <w:t xml:space="preserve"> and </w:t>
      </w:r>
      <w:r w:rsidR="00D72DDC">
        <w:lastRenderedPageBreak/>
        <w:t xml:space="preserve">the flats are currently being built.  The completion of the </w:t>
      </w:r>
      <w:r w:rsidR="00670638">
        <w:t>purchase and hand over of the properties i</w:t>
      </w:r>
      <w:r w:rsidR="00D72DDC">
        <w:t>s</w:t>
      </w:r>
      <w:r w:rsidR="00670638">
        <w:t xml:space="preserve"> expected to take place around the end of September 2017</w:t>
      </w:r>
      <w:r w:rsidR="00D72DDC">
        <w:t xml:space="preserve"> once they are finished.</w:t>
      </w:r>
    </w:p>
    <w:p w:rsidR="00425967" w:rsidRPr="00D04425" w:rsidRDefault="00425967" w:rsidP="001E16FD">
      <w:pPr>
        <w:pStyle w:val="ListParagraph"/>
        <w:numPr>
          <w:ilvl w:val="0"/>
          <w:numId w:val="34"/>
        </w:numPr>
        <w:rPr>
          <w:b/>
        </w:rPr>
      </w:pPr>
      <w:r>
        <w:t>The Council’s tenants of these flats would hold the right to buy subject to the Council obtaining the requisite consent to sub-let from the head landlord and the applicant meeting the relevant criteria</w:t>
      </w:r>
    </w:p>
    <w:p w:rsidR="002329CF" w:rsidRPr="001E16FD" w:rsidRDefault="002329CF" w:rsidP="001E16FD">
      <w:pPr>
        <w:rPr>
          <w:b/>
        </w:rPr>
      </w:pPr>
      <w:r w:rsidRPr="001E16FD">
        <w:rPr>
          <w:b/>
        </w:rPr>
        <w:t>Level of risk</w:t>
      </w:r>
    </w:p>
    <w:p w:rsidR="00BC69A4" w:rsidRPr="001356F1" w:rsidRDefault="0093067A" w:rsidP="00B451DD">
      <w:pPr>
        <w:pStyle w:val="ListParagraph"/>
        <w:numPr>
          <w:ilvl w:val="0"/>
          <w:numId w:val="34"/>
        </w:numPr>
      </w:pPr>
      <w:r w:rsidRPr="001356F1">
        <w:t>A</w:t>
      </w:r>
      <w:r w:rsidR="00E201F7">
        <w:t xml:space="preserve"> risk register is provided in Appendix 1</w:t>
      </w:r>
      <w:r w:rsidRPr="001356F1">
        <w:t>.</w:t>
      </w:r>
    </w:p>
    <w:p w:rsidR="002329CF" w:rsidRPr="001356F1" w:rsidRDefault="002329CF" w:rsidP="0050321C">
      <w:pPr>
        <w:pStyle w:val="Heading1"/>
      </w:pPr>
      <w:r w:rsidRPr="001356F1">
        <w:t xml:space="preserve">Equalities impact </w:t>
      </w:r>
    </w:p>
    <w:p w:rsidR="002329CF" w:rsidRPr="001356F1" w:rsidRDefault="007F1E1C" w:rsidP="004A6D2F">
      <w:pPr>
        <w:pStyle w:val="ListParagraph"/>
        <w:numPr>
          <w:ilvl w:val="0"/>
          <w:numId w:val="34"/>
        </w:numPr>
      </w:pPr>
      <w:r>
        <w:t xml:space="preserve">An </w:t>
      </w:r>
      <w:r w:rsidR="002F30DB">
        <w:t xml:space="preserve">equality impact assessment was completed with the initial report </w:t>
      </w:r>
      <w:r w:rsidR="00E201F7">
        <w:t xml:space="preserve">CEB report on 15/12/16 </w:t>
      </w:r>
      <w:r w:rsidR="002F30DB">
        <w:t>seeking permission to purchase additional units of accommodation</w:t>
      </w:r>
      <w:r>
        <w:t xml:space="preserve"> in December 2016</w:t>
      </w:r>
      <w:r w:rsidR="002F30DB">
        <w:t>.</w:t>
      </w:r>
      <w:r>
        <w:t xml:space="preserve"> No further issues have been identified. A transfer of 10 additional units of accommodation to the Housing Revenue </w:t>
      </w:r>
      <w:r w:rsidR="009121B4">
        <w:t xml:space="preserve">Account </w:t>
      </w:r>
      <w:r w:rsidR="009106B0">
        <w:t>will assist</w:t>
      </w:r>
      <w:r>
        <w:t xml:space="preserve"> those on the housing register by increasing the supply and choice of properties available.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14B95" w:rsidP="00A46E98">
            <w:r>
              <w:t>Tom Porter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314B95" w:rsidRDefault="00314B95" w:rsidP="00314B95">
            <w:r w:rsidRPr="00314B95">
              <w:t>Allocations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14B95" w:rsidP="00314B95">
            <w:r>
              <w:t>Housing &amp;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14B95">
            <w:r w:rsidRPr="001356F1">
              <w:t xml:space="preserve">01865 </w:t>
            </w:r>
            <w:r w:rsidR="00314B95">
              <w:t>252713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314B95" w:rsidRDefault="00142F03" w:rsidP="00A46E98">
            <w:pPr>
              <w:rPr>
                <w:rStyle w:val="Hyperlink"/>
                <w:color w:val="000000"/>
                <w:u w:val="none"/>
              </w:rPr>
            </w:pPr>
            <w:hyperlink r:id="rId9" w:history="1">
              <w:r w:rsidR="00E201F7" w:rsidRPr="00E211DB">
                <w:rPr>
                  <w:rStyle w:val="Hyperlink"/>
                </w:rPr>
                <w:t>tporter@oxford.gov.uk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1944D6" w:rsidRDefault="001944D6" w:rsidP="0093067A"/>
    <w:p w:rsidR="006170AB" w:rsidRPr="009E51FC" w:rsidRDefault="006170AB" w:rsidP="0093067A"/>
    <w:sectPr w:rsidR="006170AB" w:rsidRPr="009E51FC" w:rsidSect="00142F03">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50" w:rsidRDefault="008F4750" w:rsidP="004A6D2F">
      <w:r>
        <w:separator/>
      </w:r>
    </w:p>
  </w:endnote>
  <w:endnote w:type="continuationSeparator" w:id="0">
    <w:p w:rsidR="008F4750" w:rsidRDefault="008F47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383769" w:rsidP="004A6D2F">
    <w:pPr>
      <w:pStyle w:val="Footer"/>
    </w:pPr>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50" w:rsidRDefault="008F4750" w:rsidP="004A6D2F">
      <w:r>
        <w:separator/>
      </w:r>
    </w:p>
  </w:footnote>
  <w:footnote w:type="continuationSeparator" w:id="0">
    <w:p w:rsidR="008F4750" w:rsidRDefault="008F47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3261A" w:rsidP="00D5547E">
    <w:pPr>
      <w:pStyle w:val="Header"/>
      <w:jc w:val="right"/>
    </w:pPr>
    <w:r>
      <w:rPr>
        <w:noProof/>
      </w:rPr>
      <w:drawing>
        <wp:inline distT="0" distB="0" distL="0" distR="0" wp14:anchorId="6557E6AE" wp14:editId="7839985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1005EB"/>
    <w:multiLevelType w:val="hybridMultilevel"/>
    <w:tmpl w:val="BEC2A50C"/>
    <w:lvl w:ilvl="0" w:tplc="34284DD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5460C24"/>
    <w:multiLevelType w:val="hybridMultilevel"/>
    <w:tmpl w:val="B584FACA"/>
    <w:lvl w:ilvl="0" w:tplc="DD801068">
      <w:start w:val="1"/>
      <w:numFmt w:val="decimal"/>
      <w:lvlText w:val="%1."/>
      <w:lvlJc w:val="left"/>
      <w:pPr>
        <w:ind w:left="502"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B0B0D3D"/>
    <w:multiLevelType w:val="hybridMultilevel"/>
    <w:tmpl w:val="DF568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962A447A"/>
    <w:lvl w:ilvl="0">
      <w:start w:val="10"/>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5"/>
  </w:num>
  <w:num w:numId="10">
    <w:abstractNumId w:val="17"/>
  </w:num>
  <w:num w:numId="11">
    <w:abstractNumId w:val="26"/>
  </w:num>
  <w:num w:numId="12">
    <w:abstractNumId w:val="25"/>
  </w:num>
  <w:num w:numId="13">
    <w:abstractNumId w:val="11"/>
  </w:num>
  <w:num w:numId="14">
    <w:abstractNumId w:val="35"/>
  </w:num>
  <w:num w:numId="15">
    <w:abstractNumId w:val="18"/>
  </w:num>
  <w:num w:numId="16">
    <w:abstractNumId w:val="12"/>
  </w:num>
  <w:num w:numId="17">
    <w:abstractNumId w:val="28"/>
  </w:num>
  <w:num w:numId="18">
    <w:abstractNumId w:val="13"/>
  </w:num>
  <w:num w:numId="19">
    <w:abstractNumId w:val="31"/>
  </w:num>
  <w:num w:numId="20">
    <w:abstractNumId w:val="19"/>
  </w:num>
  <w:num w:numId="21">
    <w:abstractNumId w:val="22"/>
  </w:num>
  <w:num w:numId="22">
    <w:abstractNumId w:val="16"/>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 w:numId="35">
    <w:abstractNumId w:val="29"/>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1A"/>
    <w:rsid w:val="000040A6"/>
    <w:rsid w:val="000117D4"/>
    <w:rsid w:val="00011F59"/>
    <w:rsid w:val="000314D7"/>
    <w:rsid w:val="00045F8B"/>
    <w:rsid w:val="00046D2B"/>
    <w:rsid w:val="00056263"/>
    <w:rsid w:val="00064D8A"/>
    <w:rsid w:val="00064F82"/>
    <w:rsid w:val="00066510"/>
    <w:rsid w:val="00076D6F"/>
    <w:rsid w:val="00077523"/>
    <w:rsid w:val="00086521"/>
    <w:rsid w:val="000A6E86"/>
    <w:rsid w:val="000C089F"/>
    <w:rsid w:val="000C3928"/>
    <w:rsid w:val="000C5E8E"/>
    <w:rsid w:val="000E4BF7"/>
    <w:rsid w:val="000F4751"/>
    <w:rsid w:val="00101BCE"/>
    <w:rsid w:val="0010524C"/>
    <w:rsid w:val="00111FB1"/>
    <w:rsid w:val="001122A0"/>
    <w:rsid w:val="00113418"/>
    <w:rsid w:val="001356F1"/>
    <w:rsid w:val="00136994"/>
    <w:rsid w:val="0014128E"/>
    <w:rsid w:val="00142F03"/>
    <w:rsid w:val="00151022"/>
    <w:rsid w:val="00151888"/>
    <w:rsid w:val="00161B0A"/>
    <w:rsid w:val="00170A2D"/>
    <w:rsid w:val="00174B99"/>
    <w:rsid w:val="001808BC"/>
    <w:rsid w:val="00182B81"/>
    <w:rsid w:val="0018619D"/>
    <w:rsid w:val="001944D6"/>
    <w:rsid w:val="001A011E"/>
    <w:rsid w:val="001A066A"/>
    <w:rsid w:val="001A13E6"/>
    <w:rsid w:val="001A5731"/>
    <w:rsid w:val="001B42C3"/>
    <w:rsid w:val="001C5D5E"/>
    <w:rsid w:val="001C6313"/>
    <w:rsid w:val="001D678D"/>
    <w:rsid w:val="001E03F8"/>
    <w:rsid w:val="001E1678"/>
    <w:rsid w:val="001E16FD"/>
    <w:rsid w:val="001E3376"/>
    <w:rsid w:val="001F67A7"/>
    <w:rsid w:val="001F7425"/>
    <w:rsid w:val="002069B3"/>
    <w:rsid w:val="002329CF"/>
    <w:rsid w:val="00232F5B"/>
    <w:rsid w:val="00247C29"/>
    <w:rsid w:val="00260467"/>
    <w:rsid w:val="00263EA3"/>
    <w:rsid w:val="00283AC8"/>
    <w:rsid w:val="00284F85"/>
    <w:rsid w:val="00290915"/>
    <w:rsid w:val="002A22E2"/>
    <w:rsid w:val="002A4557"/>
    <w:rsid w:val="002C64F7"/>
    <w:rsid w:val="002E4455"/>
    <w:rsid w:val="002F30DB"/>
    <w:rsid w:val="002F41F2"/>
    <w:rsid w:val="002F5A13"/>
    <w:rsid w:val="002F6374"/>
    <w:rsid w:val="00301BF3"/>
    <w:rsid w:val="0030208D"/>
    <w:rsid w:val="00314B95"/>
    <w:rsid w:val="00323418"/>
    <w:rsid w:val="003357BF"/>
    <w:rsid w:val="00364FAD"/>
    <w:rsid w:val="0036738F"/>
    <w:rsid w:val="0036759C"/>
    <w:rsid w:val="00367AE5"/>
    <w:rsid w:val="00367D71"/>
    <w:rsid w:val="0038150A"/>
    <w:rsid w:val="00383769"/>
    <w:rsid w:val="00385E5C"/>
    <w:rsid w:val="003A40E3"/>
    <w:rsid w:val="003A4F49"/>
    <w:rsid w:val="003B51B1"/>
    <w:rsid w:val="003B6E75"/>
    <w:rsid w:val="003B7DA1"/>
    <w:rsid w:val="003D0379"/>
    <w:rsid w:val="003D2574"/>
    <w:rsid w:val="003D4C59"/>
    <w:rsid w:val="003F2D80"/>
    <w:rsid w:val="003F4267"/>
    <w:rsid w:val="003F696C"/>
    <w:rsid w:val="00402920"/>
    <w:rsid w:val="00404032"/>
    <w:rsid w:val="0040736F"/>
    <w:rsid w:val="00412C1F"/>
    <w:rsid w:val="00421CB2"/>
    <w:rsid w:val="00425967"/>
    <w:rsid w:val="004262CE"/>
    <w:rsid w:val="004268B9"/>
    <w:rsid w:val="00433B96"/>
    <w:rsid w:val="004427B7"/>
    <w:rsid w:val="004440F1"/>
    <w:rsid w:val="004456DD"/>
    <w:rsid w:val="00445C1B"/>
    <w:rsid w:val="00446CDF"/>
    <w:rsid w:val="00450CF6"/>
    <w:rsid w:val="004521B7"/>
    <w:rsid w:val="00462AB5"/>
    <w:rsid w:val="00465EAF"/>
    <w:rsid w:val="004738C5"/>
    <w:rsid w:val="00491046"/>
    <w:rsid w:val="004A0821"/>
    <w:rsid w:val="004A2AC7"/>
    <w:rsid w:val="004A6D2F"/>
    <w:rsid w:val="004B17C1"/>
    <w:rsid w:val="004B3A4B"/>
    <w:rsid w:val="004C2887"/>
    <w:rsid w:val="004D2626"/>
    <w:rsid w:val="004D6E26"/>
    <w:rsid w:val="004D77D3"/>
    <w:rsid w:val="004E2959"/>
    <w:rsid w:val="004E6136"/>
    <w:rsid w:val="004F20EF"/>
    <w:rsid w:val="0050195B"/>
    <w:rsid w:val="0050321C"/>
    <w:rsid w:val="00507AC8"/>
    <w:rsid w:val="0054212F"/>
    <w:rsid w:val="00546AE3"/>
    <w:rsid w:val="0054712D"/>
    <w:rsid w:val="00547EF6"/>
    <w:rsid w:val="005570B5"/>
    <w:rsid w:val="00557AFB"/>
    <w:rsid w:val="005653D2"/>
    <w:rsid w:val="00567E18"/>
    <w:rsid w:val="005757CC"/>
    <w:rsid w:val="00575F5F"/>
    <w:rsid w:val="00581805"/>
    <w:rsid w:val="00585F76"/>
    <w:rsid w:val="0059134D"/>
    <w:rsid w:val="005A34E4"/>
    <w:rsid w:val="005A64A9"/>
    <w:rsid w:val="005B17F2"/>
    <w:rsid w:val="005B5C46"/>
    <w:rsid w:val="005B7326"/>
    <w:rsid w:val="005B7FB0"/>
    <w:rsid w:val="005C35A5"/>
    <w:rsid w:val="005C577C"/>
    <w:rsid w:val="005D0621"/>
    <w:rsid w:val="005D1E27"/>
    <w:rsid w:val="005D2A3E"/>
    <w:rsid w:val="005E022E"/>
    <w:rsid w:val="005E5215"/>
    <w:rsid w:val="005F7F7E"/>
    <w:rsid w:val="00614693"/>
    <w:rsid w:val="006170AB"/>
    <w:rsid w:val="00623C2F"/>
    <w:rsid w:val="00630134"/>
    <w:rsid w:val="00633578"/>
    <w:rsid w:val="00637068"/>
    <w:rsid w:val="00650811"/>
    <w:rsid w:val="0065404F"/>
    <w:rsid w:val="00661D3E"/>
    <w:rsid w:val="00670638"/>
    <w:rsid w:val="00681381"/>
    <w:rsid w:val="00687572"/>
    <w:rsid w:val="00692627"/>
    <w:rsid w:val="006969E7"/>
    <w:rsid w:val="006A14BE"/>
    <w:rsid w:val="006A3643"/>
    <w:rsid w:val="006A7A74"/>
    <w:rsid w:val="006C2A29"/>
    <w:rsid w:val="006C64CF"/>
    <w:rsid w:val="006D17B1"/>
    <w:rsid w:val="006D4752"/>
    <w:rsid w:val="006D67B2"/>
    <w:rsid w:val="006D708A"/>
    <w:rsid w:val="006E14C1"/>
    <w:rsid w:val="006F0292"/>
    <w:rsid w:val="006F27FA"/>
    <w:rsid w:val="006F416B"/>
    <w:rsid w:val="006F519B"/>
    <w:rsid w:val="006F5D7C"/>
    <w:rsid w:val="006F7852"/>
    <w:rsid w:val="00704ADB"/>
    <w:rsid w:val="00713675"/>
    <w:rsid w:val="00715823"/>
    <w:rsid w:val="00737B93"/>
    <w:rsid w:val="00745BF0"/>
    <w:rsid w:val="0075111C"/>
    <w:rsid w:val="00760BDE"/>
    <w:rsid w:val="007615FE"/>
    <w:rsid w:val="0076655C"/>
    <w:rsid w:val="007742DC"/>
    <w:rsid w:val="007845EF"/>
    <w:rsid w:val="00791437"/>
    <w:rsid w:val="007B0C2C"/>
    <w:rsid w:val="007B278E"/>
    <w:rsid w:val="007B598E"/>
    <w:rsid w:val="007C5C23"/>
    <w:rsid w:val="007E2A26"/>
    <w:rsid w:val="007E4C16"/>
    <w:rsid w:val="007E7314"/>
    <w:rsid w:val="007F1E1C"/>
    <w:rsid w:val="007F1E8A"/>
    <w:rsid w:val="007F2348"/>
    <w:rsid w:val="007F3CA4"/>
    <w:rsid w:val="00803F07"/>
    <w:rsid w:val="0080749A"/>
    <w:rsid w:val="00817615"/>
    <w:rsid w:val="00821FB8"/>
    <w:rsid w:val="00822ACD"/>
    <w:rsid w:val="0083261A"/>
    <w:rsid w:val="00833B10"/>
    <w:rsid w:val="0083570F"/>
    <w:rsid w:val="00837E8C"/>
    <w:rsid w:val="00855C66"/>
    <w:rsid w:val="00871EE4"/>
    <w:rsid w:val="008B293F"/>
    <w:rsid w:val="008B7371"/>
    <w:rsid w:val="008D3DDB"/>
    <w:rsid w:val="008F4750"/>
    <w:rsid w:val="008F573F"/>
    <w:rsid w:val="008F7486"/>
    <w:rsid w:val="009034EC"/>
    <w:rsid w:val="009106B0"/>
    <w:rsid w:val="009121B4"/>
    <w:rsid w:val="0093067A"/>
    <w:rsid w:val="00941C60"/>
    <w:rsid w:val="00951194"/>
    <w:rsid w:val="00962CAF"/>
    <w:rsid w:val="00966D42"/>
    <w:rsid w:val="00971689"/>
    <w:rsid w:val="00973E90"/>
    <w:rsid w:val="00975B07"/>
    <w:rsid w:val="00980B4A"/>
    <w:rsid w:val="009A5A2B"/>
    <w:rsid w:val="009E3D0A"/>
    <w:rsid w:val="009E51FC"/>
    <w:rsid w:val="009F1D28"/>
    <w:rsid w:val="009F5CCC"/>
    <w:rsid w:val="009F7618"/>
    <w:rsid w:val="00A04D23"/>
    <w:rsid w:val="00A06766"/>
    <w:rsid w:val="00A13765"/>
    <w:rsid w:val="00A21B12"/>
    <w:rsid w:val="00A23F80"/>
    <w:rsid w:val="00A4364E"/>
    <w:rsid w:val="00A46E98"/>
    <w:rsid w:val="00A62904"/>
    <w:rsid w:val="00A6352B"/>
    <w:rsid w:val="00A701B5"/>
    <w:rsid w:val="00A714BB"/>
    <w:rsid w:val="00A91183"/>
    <w:rsid w:val="00A92D8F"/>
    <w:rsid w:val="00AB2988"/>
    <w:rsid w:val="00AB7999"/>
    <w:rsid w:val="00AC1BEA"/>
    <w:rsid w:val="00AD2260"/>
    <w:rsid w:val="00AD3292"/>
    <w:rsid w:val="00AE0538"/>
    <w:rsid w:val="00AE7AF0"/>
    <w:rsid w:val="00B451DD"/>
    <w:rsid w:val="00B500CA"/>
    <w:rsid w:val="00B86314"/>
    <w:rsid w:val="00BA1C2E"/>
    <w:rsid w:val="00BC200B"/>
    <w:rsid w:val="00BC4756"/>
    <w:rsid w:val="00BC69A4"/>
    <w:rsid w:val="00BD7D1A"/>
    <w:rsid w:val="00BE0680"/>
    <w:rsid w:val="00BE305F"/>
    <w:rsid w:val="00BE7BA3"/>
    <w:rsid w:val="00BF5682"/>
    <w:rsid w:val="00BF6871"/>
    <w:rsid w:val="00BF7B09"/>
    <w:rsid w:val="00C0469F"/>
    <w:rsid w:val="00C04D5E"/>
    <w:rsid w:val="00C17D43"/>
    <w:rsid w:val="00C20A95"/>
    <w:rsid w:val="00C2692F"/>
    <w:rsid w:val="00C3207C"/>
    <w:rsid w:val="00C400E1"/>
    <w:rsid w:val="00C41187"/>
    <w:rsid w:val="00C63C31"/>
    <w:rsid w:val="00C676C8"/>
    <w:rsid w:val="00C757A0"/>
    <w:rsid w:val="00C760DE"/>
    <w:rsid w:val="00C762F1"/>
    <w:rsid w:val="00C82630"/>
    <w:rsid w:val="00C85B4E"/>
    <w:rsid w:val="00C907F7"/>
    <w:rsid w:val="00C97727"/>
    <w:rsid w:val="00CA2103"/>
    <w:rsid w:val="00CB4D9A"/>
    <w:rsid w:val="00CB6B99"/>
    <w:rsid w:val="00CE4C87"/>
    <w:rsid w:val="00CE544A"/>
    <w:rsid w:val="00D04425"/>
    <w:rsid w:val="00D11E1C"/>
    <w:rsid w:val="00D160B0"/>
    <w:rsid w:val="00D17F94"/>
    <w:rsid w:val="00D223FC"/>
    <w:rsid w:val="00D26D1E"/>
    <w:rsid w:val="00D34540"/>
    <w:rsid w:val="00D474CF"/>
    <w:rsid w:val="00D5547E"/>
    <w:rsid w:val="00D72DDC"/>
    <w:rsid w:val="00D820EC"/>
    <w:rsid w:val="00D869A1"/>
    <w:rsid w:val="00DA06E9"/>
    <w:rsid w:val="00DA3FCD"/>
    <w:rsid w:val="00DA413F"/>
    <w:rsid w:val="00DA4584"/>
    <w:rsid w:val="00DA614B"/>
    <w:rsid w:val="00DC3060"/>
    <w:rsid w:val="00DD0E04"/>
    <w:rsid w:val="00DE0FB2"/>
    <w:rsid w:val="00DF093E"/>
    <w:rsid w:val="00E01F42"/>
    <w:rsid w:val="00E201F7"/>
    <w:rsid w:val="00E206D6"/>
    <w:rsid w:val="00E3366E"/>
    <w:rsid w:val="00E52086"/>
    <w:rsid w:val="00E543A6"/>
    <w:rsid w:val="00E60479"/>
    <w:rsid w:val="00E61D73"/>
    <w:rsid w:val="00E70640"/>
    <w:rsid w:val="00E71F46"/>
    <w:rsid w:val="00E73583"/>
    <w:rsid w:val="00E73684"/>
    <w:rsid w:val="00E818D6"/>
    <w:rsid w:val="00E87F7A"/>
    <w:rsid w:val="00E96BD7"/>
    <w:rsid w:val="00EA0DB1"/>
    <w:rsid w:val="00EA0EE9"/>
    <w:rsid w:val="00EA7DBE"/>
    <w:rsid w:val="00ED52CA"/>
    <w:rsid w:val="00ED5860"/>
    <w:rsid w:val="00EE35C9"/>
    <w:rsid w:val="00EE70EA"/>
    <w:rsid w:val="00F05ECA"/>
    <w:rsid w:val="00F26E71"/>
    <w:rsid w:val="00F3566E"/>
    <w:rsid w:val="00F375FB"/>
    <w:rsid w:val="00F41AC1"/>
    <w:rsid w:val="00F4367A"/>
    <w:rsid w:val="00F44053"/>
    <w:rsid w:val="00F445B1"/>
    <w:rsid w:val="00F45CD4"/>
    <w:rsid w:val="00F66DCA"/>
    <w:rsid w:val="00F74F53"/>
    <w:rsid w:val="00F7606D"/>
    <w:rsid w:val="00F81670"/>
    <w:rsid w:val="00F82024"/>
    <w:rsid w:val="00F95BC9"/>
    <w:rsid w:val="00FA624C"/>
    <w:rsid w:val="00FB7A17"/>
    <w:rsid w:val="00FD0CC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260833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porter@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4B62-4C89-4BF3-B4A6-3633FD8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2075EF0F</Template>
  <TotalTime>53</TotalTime>
  <Pages>6</Pages>
  <Words>2156</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13432</CharactersWithSpaces>
  <SharedDoc>false</SharedDoc>
  <HLinks>
    <vt:vector size="6" baseType="variant">
      <vt:variant>
        <vt:i4>122</vt:i4>
      </vt:variant>
      <vt:variant>
        <vt:i4>0</vt:i4>
      </vt:variant>
      <vt:variant>
        <vt:i4>0</vt:i4>
      </vt:variant>
      <vt:variant>
        <vt:i4>5</vt:i4>
      </vt:variant>
      <vt:variant>
        <vt:lpwstr>mailto:tporter@oxford.gov.uk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JMitchell</cp:lastModifiedBy>
  <cp:revision>8</cp:revision>
  <cp:lastPrinted>2017-08-09T08:00:00Z</cp:lastPrinted>
  <dcterms:created xsi:type="dcterms:W3CDTF">2017-08-18T09:01:00Z</dcterms:created>
  <dcterms:modified xsi:type="dcterms:W3CDTF">2017-09-11T14:05:00Z</dcterms:modified>
</cp:coreProperties>
</file>